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367" w:rsidRDefault="00D25367" w:rsidP="00D25367">
      <w:pPr>
        <w:rPr>
          <w:b/>
        </w:rPr>
      </w:pPr>
      <w:r>
        <w:rPr>
          <w:b/>
          <w:noProof/>
        </w:rPr>
        <w:drawing>
          <wp:inline distT="0" distB="0" distL="0" distR="0">
            <wp:extent cx="1137920" cy="1180465"/>
            <wp:effectExtent l="0" t="0" r="5080" b="635"/>
            <wp:docPr id="2" name="Picture 2" descr="Description: LOGO FOKAL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OGO FOKAL_2015.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7920" cy="1180465"/>
                    </a:xfrm>
                    <a:prstGeom prst="rect">
                      <a:avLst/>
                    </a:prstGeom>
                    <a:noFill/>
                    <a:ln>
                      <a:noFill/>
                    </a:ln>
                  </pic:spPr>
                </pic:pic>
              </a:graphicData>
            </a:graphic>
          </wp:inline>
        </w:drawing>
      </w:r>
      <w:r>
        <w:rPr>
          <w:b/>
        </w:rPr>
        <w:tab/>
      </w:r>
      <w:r>
        <w:rPr>
          <w:b/>
        </w:rPr>
        <w:tab/>
      </w:r>
      <w:r>
        <w:rPr>
          <w:b/>
        </w:rPr>
        <w:tab/>
      </w:r>
      <w:r>
        <w:rPr>
          <w:b/>
        </w:rPr>
        <w:tab/>
      </w:r>
      <w:r>
        <w:rPr>
          <w:b/>
        </w:rPr>
        <w:tab/>
      </w:r>
      <w:r>
        <w:rPr>
          <w:b/>
          <w:noProof/>
        </w:rPr>
        <w:drawing>
          <wp:inline distT="0" distB="0" distL="0" distR="0">
            <wp:extent cx="2541270" cy="584835"/>
            <wp:effectExtent l="0" t="0" r="0" b="5715"/>
            <wp:docPr id="1" name="Picture 1" descr="Description: ASF_Logo_Long_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ASF_Logo_Long_Couleur.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1270" cy="584835"/>
                    </a:xfrm>
                    <a:prstGeom prst="rect">
                      <a:avLst/>
                    </a:prstGeom>
                    <a:noFill/>
                    <a:ln>
                      <a:noFill/>
                    </a:ln>
                  </pic:spPr>
                </pic:pic>
              </a:graphicData>
            </a:graphic>
          </wp:inline>
        </w:drawing>
      </w:r>
    </w:p>
    <w:p w:rsidR="00D25367" w:rsidRDefault="00D25367" w:rsidP="00D25367">
      <w:pPr>
        <w:jc w:val="center"/>
        <w:rPr>
          <w:b/>
        </w:rPr>
      </w:pPr>
    </w:p>
    <w:p w:rsidR="00D25367" w:rsidRDefault="00D25367" w:rsidP="00D25367">
      <w:pPr>
        <w:jc w:val="center"/>
        <w:rPr>
          <w:b/>
        </w:rPr>
      </w:pPr>
    </w:p>
    <w:p w:rsidR="00D25367" w:rsidRDefault="00D25367" w:rsidP="00D25367">
      <w:pPr>
        <w:jc w:val="center"/>
        <w:rPr>
          <w:b/>
        </w:rPr>
      </w:pPr>
    </w:p>
    <w:p w:rsidR="00D25367" w:rsidRDefault="00D25367" w:rsidP="00D25367">
      <w:pPr>
        <w:jc w:val="center"/>
        <w:rPr>
          <w:b/>
        </w:rPr>
      </w:pPr>
    </w:p>
    <w:p w:rsidR="00D25367" w:rsidRDefault="00D25367" w:rsidP="00D25367">
      <w:pPr>
        <w:pBdr>
          <w:top w:val="single" w:sz="4" w:space="1" w:color="auto"/>
          <w:left w:val="single" w:sz="4" w:space="4" w:color="auto"/>
          <w:bottom w:val="single" w:sz="4" w:space="1" w:color="auto"/>
          <w:right w:val="single" w:sz="4" w:space="4" w:color="auto"/>
        </w:pBdr>
        <w:jc w:val="center"/>
        <w:rPr>
          <w:b/>
          <w:sz w:val="32"/>
          <w:szCs w:val="32"/>
          <w:lang w:val="fr-FR"/>
        </w:rPr>
      </w:pPr>
    </w:p>
    <w:p w:rsidR="00D25367" w:rsidRDefault="00D25367" w:rsidP="00D25367">
      <w:pPr>
        <w:pBdr>
          <w:top w:val="single" w:sz="4" w:space="1" w:color="auto"/>
          <w:left w:val="single" w:sz="4" w:space="4" w:color="auto"/>
          <w:bottom w:val="single" w:sz="4" w:space="1" w:color="auto"/>
          <w:right w:val="single" w:sz="4" w:space="4" w:color="auto"/>
        </w:pBdr>
        <w:jc w:val="center"/>
        <w:rPr>
          <w:b/>
          <w:sz w:val="32"/>
          <w:szCs w:val="32"/>
          <w:lang w:val="fr-FR"/>
        </w:rPr>
      </w:pPr>
      <w:r>
        <w:rPr>
          <w:b/>
          <w:sz w:val="32"/>
          <w:szCs w:val="32"/>
          <w:lang w:val="fr-FR"/>
        </w:rPr>
        <w:t>APPEL A CANDIDATURES</w:t>
      </w:r>
    </w:p>
    <w:p w:rsidR="00D25367" w:rsidRDefault="00D25367" w:rsidP="00D25367">
      <w:pPr>
        <w:pBdr>
          <w:top w:val="single" w:sz="4" w:space="1" w:color="auto"/>
          <w:left w:val="single" w:sz="4" w:space="4" w:color="auto"/>
          <w:bottom w:val="single" w:sz="4" w:space="1" w:color="auto"/>
          <w:right w:val="single" w:sz="4" w:space="4" w:color="auto"/>
        </w:pBdr>
        <w:jc w:val="center"/>
        <w:rPr>
          <w:b/>
          <w:sz w:val="32"/>
          <w:szCs w:val="32"/>
          <w:lang w:val="fr-FR"/>
        </w:rPr>
      </w:pPr>
      <w:r>
        <w:rPr>
          <w:b/>
          <w:sz w:val="32"/>
          <w:szCs w:val="32"/>
          <w:lang w:val="fr-FR"/>
        </w:rPr>
        <w:t xml:space="preserve">BOURSES D’ETUDES </w:t>
      </w:r>
    </w:p>
    <w:p w:rsidR="00D25367" w:rsidRDefault="00D25367" w:rsidP="00D25367">
      <w:pPr>
        <w:pBdr>
          <w:top w:val="single" w:sz="4" w:space="1" w:color="auto"/>
          <w:left w:val="single" w:sz="4" w:space="4" w:color="auto"/>
          <w:bottom w:val="single" w:sz="4" w:space="1" w:color="auto"/>
          <w:right w:val="single" w:sz="4" w:space="4" w:color="auto"/>
        </w:pBdr>
        <w:jc w:val="center"/>
        <w:rPr>
          <w:b/>
          <w:sz w:val="28"/>
          <w:szCs w:val="32"/>
          <w:lang w:val="fr-FR"/>
        </w:rPr>
      </w:pPr>
      <w:r>
        <w:rPr>
          <w:b/>
          <w:sz w:val="28"/>
          <w:szCs w:val="32"/>
          <w:lang w:val="fr-FR"/>
        </w:rPr>
        <w:t>AJULIH/Programme Education citoyenne/Programme subvention 2017-2018</w:t>
      </w:r>
    </w:p>
    <w:p w:rsidR="00D25367" w:rsidRDefault="00D25367" w:rsidP="00D25367">
      <w:pPr>
        <w:pBdr>
          <w:top w:val="single" w:sz="4" w:space="1" w:color="auto"/>
          <w:left w:val="single" w:sz="4" w:space="4" w:color="auto"/>
          <w:bottom w:val="single" w:sz="4" w:space="1" w:color="auto"/>
          <w:right w:val="single" w:sz="4" w:space="4" w:color="auto"/>
        </w:pBdr>
        <w:jc w:val="center"/>
        <w:rPr>
          <w:b/>
          <w:lang w:val="fr-FR"/>
        </w:rPr>
      </w:pPr>
    </w:p>
    <w:p w:rsidR="002857D0" w:rsidRDefault="002857D0">
      <w:pPr>
        <w:rPr>
          <w:lang w:val="fr-FR"/>
        </w:rPr>
      </w:pPr>
    </w:p>
    <w:p w:rsidR="00D25367" w:rsidRDefault="00D25367">
      <w:pPr>
        <w:rPr>
          <w:lang w:val="fr-FR"/>
        </w:rPr>
      </w:pPr>
    </w:p>
    <w:p w:rsidR="00D25367" w:rsidRDefault="00D25367">
      <w:pPr>
        <w:rPr>
          <w:lang w:val="fr-FR"/>
        </w:rPr>
      </w:pPr>
    </w:p>
    <w:p w:rsidR="00D25367" w:rsidRDefault="00D25367">
      <w:pPr>
        <w:rPr>
          <w:lang w:val="fr-FR"/>
        </w:rPr>
      </w:pPr>
    </w:p>
    <w:p w:rsidR="00D25367" w:rsidRDefault="00D25367">
      <w:pPr>
        <w:rPr>
          <w:lang w:val="fr-FR"/>
        </w:rPr>
      </w:pPr>
    </w:p>
    <w:p w:rsidR="00D25367" w:rsidRDefault="00D25367">
      <w:pPr>
        <w:rPr>
          <w:lang w:val="fr-FR"/>
        </w:rPr>
      </w:pPr>
    </w:p>
    <w:p w:rsidR="00D25367" w:rsidRDefault="00D25367">
      <w:pPr>
        <w:rPr>
          <w:lang w:val="fr-FR"/>
        </w:rPr>
      </w:pPr>
    </w:p>
    <w:p w:rsidR="00D25367" w:rsidRDefault="00D25367">
      <w:pPr>
        <w:rPr>
          <w:lang w:val="fr-FR"/>
        </w:rPr>
      </w:pPr>
    </w:p>
    <w:p w:rsidR="00D25367" w:rsidRDefault="00D25367">
      <w:pPr>
        <w:rPr>
          <w:lang w:val="fr-FR"/>
        </w:rPr>
      </w:pPr>
    </w:p>
    <w:p w:rsidR="00D25367" w:rsidRDefault="00D25367">
      <w:pPr>
        <w:rPr>
          <w:lang w:val="fr-FR"/>
        </w:rPr>
        <w:sectPr w:rsidR="00D25367">
          <w:pgSz w:w="12240" w:h="15840"/>
          <w:pgMar w:top="1440" w:right="1440" w:bottom="1440" w:left="1440" w:header="720" w:footer="720" w:gutter="0"/>
          <w:cols w:space="720"/>
          <w:docGrid w:linePitch="360"/>
        </w:sectPr>
      </w:pPr>
    </w:p>
    <w:p w:rsidR="00D25367" w:rsidRDefault="00D25367" w:rsidP="00D25367">
      <w:pPr>
        <w:rPr>
          <w:b/>
          <w:sz w:val="32"/>
          <w:lang w:val="fr-FR"/>
        </w:rPr>
      </w:pPr>
      <w:r>
        <w:rPr>
          <w:b/>
          <w:sz w:val="32"/>
          <w:lang w:val="fr-FR"/>
        </w:rPr>
        <w:lastRenderedPageBreak/>
        <w:t>CONTEXTE ET PARTENAIRES</w:t>
      </w:r>
    </w:p>
    <w:p w:rsidR="00D25367" w:rsidRDefault="00D25367">
      <w:pPr>
        <w:rPr>
          <w:lang w:val="fr-FR"/>
        </w:rPr>
      </w:pPr>
    </w:p>
    <w:p w:rsidR="00D25367" w:rsidRDefault="00D25367" w:rsidP="00D25367">
      <w:pPr>
        <w:rPr>
          <w:b/>
          <w:lang w:val="fr-FR"/>
        </w:rPr>
      </w:pPr>
      <w:r>
        <w:rPr>
          <w:b/>
          <w:lang w:val="fr-FR"/>
        </w:rPr>
        <w:t>La Fondation Connaissance et Liberté (FOKAL)</w:t>
      </w:r>
    </w:p>
    <w:p w:rsidR="00D25367" w:rsidRDefault="00D25367" w:rsidP="00D25367">
      <w:pPr>
        <w:spacing w:before="100" w:beforeAutospacing="1" w:after="100" w:afterAutospacing="1"/>
        <w:jc w:val="both"/>
        <w:rPr>
          <w:lang w:val="fr-FR"/>
        </w:rPr>
      </w:pPr>
      <w:r>
        <w:rPr>
          <w:lang w:val="fr-FR"/>
        </w:rPr>
        <w:t>La FOKAL, créée en 1995 et reconnue d’utilité publique depuis 2000, est une fondation nationale haïtienne financée principalement par l’</w:t>
      </w:r>
      <w:hyperlink r:id="rId8" w:tooltip="Open Society Foundations" w:history="1">
        <w:r>
          <w:rPr>
            <w:rStyle w:val="Hyperlink"/>
            <w:lang w:val="fr-FR"/>
          </w:rPr>
          <w:t>Open Society Foundations</w:t>
        </w:r>
      </w:hyperlink>
      <w:r>
        <w:rPr>
          <w:lang w:val="fr-FR"/>
        </w:rPr>
        <w:t>. L’Open Society Foundations est un réseau de fondations et d’initiatives établies à travers le monde par le financier hongrois américain </w:t>
      </w:r>
      <w:hyperlink r:id="rId9" w:tooltip="George Soros" w:history="1">
        <w:r>
          <w:rPr>
            <w:rStyle w:val="Hyperlink"/>
            <w:lang w:val="fr-FR"/>
          </w:rPr>
          <w:t>George Soros</w:t>
        </w:r>
      </w:hyperlink>
      <w:r>
        <w:rPr>
          <w:lang w:val="fr-FR"/>
        </w:rPr>
        <w:t> pour la promotion des valeurs démocratiques. La FOKAL reçoit aussi des financements de l'Union Européenne et de la coopération Française.</w:t>
      </w:r>
    </w:p>
    <w:p w:rsidR="00D25367" w:rsidRDefault="00D25367" w:rsidP="00D25367">
      <w:pPr>
        <w:spacing w:before="100" w:beforeAutospacing="1" w:after="100" w:afterAutospacing="1"/>
        <w:jc w:val="both"/>
        <w:rPr>
          <w:lang w:val="fr-FR"/>
        </w:rPr>
      </w:pPr>
      <w:r>
        <w:rPr>
          <w:lang w:val="fr-FR"/>
        </w:rPr>
        <w:t xml:space="preserve">La mission de FOKAL est de : </w:t>
      </w:r>
    </w:p>
    <w:p w:rsidR="00D25367" w:rsidRDefault="00D25367" w:rsidP="00D25367">
      <w:pPr>
        <w:numPr>
          <w:ilvl w:val="0"/>
          <w:numId w:val="1"/>
        </w:numPr>
        <w:spacing w:before="100" w:beforeAutospacing="1" w:after="100" w:afterAutospacing="1"/>
        <w:jc w:val="both"/>
        <w:rPr>
          <w:lang w:val="fr-FR"/>
        </w:rPr>
      </w:pPr>
      <w:r>
        <w:rPr>
          <w:lang w:val="fr-FR"/>
        </w:rPr>
        <w:t xml:space="preserve">Promouvoir les structures nécessaires à l'établissement d'une société démocratique, juste et solidaire, basée sur l'autonomie et la responsabilité individuelles et collectives ; </w:t>
      </w:r>
    </w:p>
    <w:p w:rsidR="00D25367" w:rsidRDefault="00D25367" w:rsidP="00D25367">
      <w:pPr>
        <w:numPr>
          <w:ilvl w:val="0"/>
          <w:numId w:val="1"/>
        </w:numPr>
        <w:spacing w:before="100" w:beforeAutospacing="1" w:after="100" w:afterAutospacing="1"/>
        <w:jc w:val="both"/>
        <w:rPr>
          <w:lang w:val="fr-FR"/>
        </w:rPr>
      </w:pPr>
      <w:r>
        <w:rPr>
          <w:lang w:val="fr-FR"/>
        </w:rPr>
        <w:t xml:space="preserve">Favoriser l'autonomie de l'individu, l'esprit critique, le jugement, le sens de la responsabilité, l'initiative, la créativité et la coopération par l'éducation, la formation et la communication ; </w:t>
      </w:r>
    </w:p>
    <w:p w:rsidR="00D25367" w:rsidRDefault="00D25367" w:rsidP="00D25367">
      <w:pPr>
        <w:numPr>
          <w:ilvl w:val="0"/>
          <w:numId w:val="1"/>
        </w:numPr>
        <w:spacing w:before="100" w:beforeAutospacing="1" w:after="100" w:afterAutospacing="1"/>
        <w:jc w:val="both"/>
        <w:rPr>
          <w:lang w:val="fr-FR"/>
        </w:rPr>
      </w:pPr>
      <w:r>
        <w:rPr>
          <w:lang w:val="fr-FR"/>
        </w:rPr>
        <w:t xml:space="preserve">Renforcer les processus organisationnels par lesquels s'exerce l'esprit critique, et se développent apprentissage, partage et confrontation des savoirs au sein des groupes, en vue d'une participation active à la gestion démocratique de la chose publique et l'épanouissement de la vie associative, sociale et culturelle. </w:t>
      </w:r>
    </w:p>
    <w:p w:rsidR="00D25367" w:rsidRDefault="00D25367" w:rsidP="00D25367">
      <w:pPr>
        <w:jc w:val="both"/>
        <w:rPr>
          <w:lang w:val="fr-FR"/>
        </w:rPr>
      </w:pPr>
      <w:r>
        <w:rPr>
          <w:lang w:val="fr-FR"/>
        </w:rPr>
        <w:t>La FOKAL intervient, entre autres, dans les domaines suivants : environnement, jeunesse, accès à l’information, appui aux médias, éducation, conservation du patrimoine, arts et culture. D’autres informations sont disponibles sur le site internet de la Fondation : </w:t>
      </w:r>
      <w:hyperlink r:id="rId10" w:history="1">
        <w:r>
          <w:rPr>
            <w:rStyle w:val="Hyperlink"/>
            <w:lang w:val="fr-FR"/>
          </w:rPr>
          <w:t>www.fokal.org</w:t>
        </w:r>
      </w:hyperlink>
      <w:r>
        <w:rPr>
          <w:rStyle w:val="Hyperlink"/>
          <w:lang w:val="fr-FR"/>
        </w:rPr>
        <w:t xml:space="preserve"> </w:t>
      </w:r>
    </w:p>
    <w:p w:rsidR="00D25367" w:rsidRDefault="00D25367" w:rsidP="00D25367">
      <w:pPr>
        <w:rPr>
          <w:b/>
          <w:lang w:val="fr-FR"/>
        </w:rPr>
      </w:pPr>
      <w:r>
        <w:rPr>
          <w:b/>
          <w:lang w:val="fr-FR"/>
        </w:rPr>
        <w:t>Avocats Sans Frontières Canada (ASFC)</w:t>
      </w:r>
    </w:p>
    <w:p w:rsidR="00D25367" w:rsidRDefault="00D25367" w:rsidP="00D25367">
      <w:pPr>
        <w:rPr>
          <w:lang w:val="fr-FR"/>
        </w:rPr>
      </w:pPr>
      <w:r>
        <w:rPr>
          <w:lang w:val="fr-FR"/>
        </w:rPr>
        <w:t xml:space="preserve">Active en Haïti depuis 2006, ASFC est une organisation non gouvernementale de coopération internationale dont la mission est de soutenir la défense des droits humains des groupes ou des personnes les plus vulnérables par le renforcement de l’accès à la justice et à la représentation juridique. </w:t>
      </w:r>
    </w:p>
    <w:p w:rsidR="00D25367" w:rsidRDefault="00D25367" w:rsidP="00D25367">
      <w:pPr>
        <w:rPr>
          <w:lang w:val="fr-FR"/>
        </w:rPr>
      </w:pPr>
      <w:r>
        <w:rPr>
          <w:lang w:val="fr-FR"/>
        </w:rPr>
        <w:t xml:space="preserve">Pour en savoir davantage, visitez le </w:t>
      </w:r>
      <w:hyperlink r:id="rId11" w:history="1">
        <w:r>
          <w:rPr>
            <w:rStyle w:val="Hyperlink"/>
            <w:lang w:val="fr-FR"/>
          </w:rPr>
          <w:t>www.asfcanada.ca</w:t>
        </w:r>
      </w:hyperlink>
      <w:r>
        <w:rPr>
          <w:lang w:val="fr-FR"/>
        </w:rPr>
        <w:t>.</w:t>
      </w:r>
    </w:p>
    <w:p w:rsidR="00D25367" w:rsidRPr="0059759A" w:rsidRDefault="00D25367" w:rsidP="00A772B0">
      <w:pPr>
        <w:jc w:val="both"/>
        <w:rPr>
          <w:b/>
          <w:lang w:val="fr-FR"/>
        </w:rPr>
      </w:pPr>
      <w:r>
        <w:rPr>
          <w:b/>
          <w:lang w:val="fr-FR"/>
        </w:rPr>
        <w:t xml:space="preserve">Le projet </w:t>
      </w:r>
      <w:r w:rsidR="0059759A">
        <w:rPr>
          <w:b/>
          <w:lang w:val="fr-FR"/>
        </w:rPr>
        <w:t>« </w:t>
      </w:r>
      <w:r w:rsidR="0059759A" w:rsidRPr="0059759A">
        <w:rPr>
          <w:b/>
          <w:lang w:val="fr-FR"/>
        </w:rPr>
        <w:t>Accès à la justice et lutte contre l’impunité », ASFC/FOKAL</w:t>
      </w:r>
    </w:p>
    <w:p w:rsidR="00D25367" w:rsidRDefault="00D25367" w:rsidP="00D25367">
      <w:pPr>
        <w:jc w:val="both"/>
        <w:rPr>
          <w:lang w:val="fr-FR"/>
        </w:rPr>
      </w:pPr>
      <w:r>
        <w:rPr>
          <w:lang w:val="fr-FR"/>
        </w:rPr>
        <w:t xml:space="preserve">En avril 2017, ASFC lance le projet « Accès à la justice et lutte contre l’impunité » (AJULIH). Le projet vise à mobiliser la société civile afin de pousser la justice à devenir une institution forte d’une gouvernance inclusive et responsable et un réel contrepoids démocratique. L’action se décline en trois grandes composantes : l’appui à l’Office de protection du citoyen (OPC) pour lui permettre de contribuer plus efficacement à la protection et à la mise en œuvre des droits humains ; le renforcement des organisations de la société civile (OSC) et des avocats représentants des victimes de violations de droits </w:t>
      </w:r>
      <w:r>
        <w:rPr>
          <w:lang w:val="fr-FR"/>
        </w:rPr>
        <w:lastRenderedPageBreak/>
        <w:t xml:space="preserve">humains ; le renforcement de la participation citoyenne à la consolidation de l’Etat de droit par des actions de plaidoyer, le renforcement des capacités des OSC et une sensibilisation accrue du grand public à la revendication des droits humains. Ce projet est soutenu par Affaires Mondiales Canada (AMC). </w:t>
      </w:r>
    </w:p>
    <w:p w:rsidR="00CF7AC0" w:rsidRPr="00CF7AC0" w:rsidRDefault="00CF7AC0" w:rsidP="00CF7AC0">
      <w:pPr>
        <w:jc w:val="both"/>
        <w:rPr>
          <w:b/>
          <w:lang w:val="fr-FR"/>
        </w:rPr>
      </w:pPr>
    </w:p>
    <w:p w:rsidR="00D25367" w:rsidRDefault="00D25367" w:rsidP="00D25367">
      <w:pPr>
        <w:rPr>
          <w:b/>
          <w:sz w:val="32"/>
          <w:lang w:val="fr-FR"/>
        </w:rPr>
      </w:pPr>
      <w:r>
        <w:rPr>
          <w:b/>
          <w:sz w:val="32"/>
          <w:lang w:val="fr-FR"/>
        </w:rPr>
        <w:t>OBJECTIFS DU PRÉSENT APPEL</w:t>
      </w:r>
      <w:r w:rsidR="009361DC">
        <w:rPr>
          <w:b/>
          <w:sz w:val="32"/>
          <w:lang w:val="fr-FR"/>
        </w:rPr>
        <w:t xml:space="preserve"> </w:t>
      </w:r>
      <w:r w:rsidR="009361DC">
        <w:rPr>
          <w:rFonts w:cstheme="minorHAnsi"/>
          <w:b/>
          <w:sz w:val="32"/>
          <w:lang w:val="fr-FR"/>
        </w:rPr>
        <w:t>À</w:t>
      </w:r>
      <w:r w:rsidR="00FA1838">
        <w:rPr>
          <w:b/>
          <w:sz w:val="32"/>
          <w:lang w:val="fr-FR"/>
        </w:rPr>
        <w:t xml:space="preserve"> CANDIDATURES</w:t>
      </w:r>
    </w:p>
    <w:p w:rsidR="00D25367" w:rsidRPr="00D25367" w:rsidRDefault="003C439F" w:rsidP="0046414D">
      <w:pPr>
        <w:jc w:val="both"/>
        <w:rPr>
          <w:rFonts w:ascii="Arial" w:hAnsi="Arial" w:cs="Arial"/>
          <w:lang w:val="fr-FR" w:eastAsia="ja-JP"/>
        </w:rPr>
      </w:pPr>
      <w:r>
        <w:rPr>
          <w:lang w:val="fr-FR"/>
        </w:rPr>
        <w:t>Le présent appel a pour but de</w:t>
      </w:r>
      <w:r w:rsidR="00D25367">
        <w:rPr>
          <w:lang w:val="fr-FR"/>
        </w:rPr>
        <w:t xml:space="preserve"> permettre aux étudiant</w:t>
      </w:r>
      <w:r w:rsidR="0046414D">
        <w:rPr>
          <w:lang w:val="fr-FR"/>
        </w:rPr>
        <w:t>(e)</w:t>
      </w:r>
      <w:r w:rsidR="00D25367">
        <w:rPr>
          <w:lang w:val="fr-FR"/>
        </w:rPr>
        <w:t>s haïtien</w:t>
      </w:r>
      <w:r w:rsidR="0046414D">
        <w:rPr>
          <w:lang w:val="fr-FR"/>
        </w:rPr>
        <w:t>(ne)</w:t>
      </w:r>
      <w:r w:rsidR="00D25367">
        <w:rPr>
          <w:lang w:val="fr-FR"/>
        </w:rPr>
        <w:t>s</w:t>
      </w:r>
      <w:r w:rsidR="00000523">
        <w:rPr>
          <w:lang w:val="fr-FR"/>
        </w:rPr>
        <w:t xml:space="preserve"> du 1</w:t>
      </w:r>
      <w:r w:rsidR="00000523" w:rsidRPr="00000523">
        <w:rPr>
          <w:vertAlign w:val="superscript"/>
          <w:lang w:val="fr-FR"/>
        </w:rPr>
        <w:t>er</w:t>
      </w:r>
      <w:r w:rsidR="00000523">
        <w:rPr>
          <w:lang w:val="fr-FR"/>
        </w:rPr>
        <w:t xml:space="preserve"> cycle</w:t>
      </w:r>
      <w:r w:rsidR="00D25367">
        <w:rPr>
          <w:lang w:val="fr-FR"/>
        </w:rPr>
        <w:t>, issu</w:t>
      </w:r>
      <w:r w:rsidR="0046414D">
        <w:rPr>
          <w:lang w:val="fr-FR"/>
        </w:rPr>
        <w:t>(e)</w:t>
      </w:r>
      <w:r w:rsidR="00D25367">
        <w:rPr>
          <w:lang w:val="fr-FR"/>
        </w:rPr>
        <w:t>s des établissements d’enseignement supérieur membres de l’A</w:t>
      </w:r>
      <w:r w:rsidR="0046414D">
        <w:rPr>
          <w:lang w:val="fr-FR"/>
        </w:rPr>
        <w:t>gence universitaire de la francophonie (AU</w:t>
      </w:r>
      <w:r w:rsidR="00D25367">
        <w:rPr>
          <w:lang w:val="fr-FR"/>
        </w:rPr>
        <w:t>F</w:t>
      </w:r>
      <w:r w:rsidR="0046414D">
        <w:rPr>
          <w:lang w:val="fr-FR"/>
        </w:rPr>
        <w:t>) et s’intéressant au champ des droits humains</w:t>
      </w:r>
      <w:r w:rsidR="00D25367">
        <w:rPr>
          <w:lang w:val="fr-FR"/>
        </w:rPr>
        <w:t>, de bénéficier de bourse</w:t>
      </w:r>
      <w:r w:rsidR="0046414D">
        <w:rPr>
          <w:lang w:val="fr-FR"/>
        </w:rPr>
        <w:t>s locales</w:t>
      </w:r>
      <w:r>
        <w:rPr>
          <w:lang w:val="fr-FR"/>
        </w:rPr>
        <w:t xml:space="preserve"> </w:t>
      </w:r>
      <w:r w:rsidR="00242160">
        <w:rPr>
          <w:lang w:val="fr-FR"/>
        </w:rPr>
        <w:t xml:space="preserve">pour des études universitaires, des mémoires </w:t>
      </w:r>
      <w:r w:rsidRPr="00CF7AC0">
        <w:rPr>
          <w:lang w:val="fr-FR"/>
        </w:rPr>
        <w:t>et de</w:t>
      </w:r>
      <w:r w:rsidR="00242160" w:rsidRPr="00CF7AC0">
        <w:rPr>
          <w:lang w:val="fr-FR"/>
        </w:rPr>
        <w:t>s</w:t>
      </w:r>
      <w:r w:rsidRPr="00CF7AC0">
        <w:rPr>
          <w:lang w:val="fr-FR"/>
        </w:rPr>
        <w:t xml:space="preserve"> stages</w:t>
      </w:r>
      <w:r w:rsidR="00D25367" w:rsidRPr="00CF7AC0">
        <w:rPr>
          <w:lang w:val="fr-FR"/>
        </w:rPr>
        <w:t>.</w:t>
      </w:r>
    </w:p>
    <w:p w:rsidR="00D25367" w:rsidRDefault="00F340F9" w:rsidP="00F340F9">
      <w:pPr>
        <w:jc w:val="both"/>
        <w:rPr>
          <w:lang w:val="fr-FR"/>
        </w:rPr>
      </w:pPr>
      <w:r>
        <w:rPr>
          <w:lang w:val="fr-FR"/>
        </w:rPr>
        <w:t>Les objectifs sont de contribuer au dynamisme de la recherche universitaire et de valoriser les droits humains comme thématique de rech</w:t>
      </w:r>
      <w:r w:rsidR="0085702C">
        <w:rPr>
          <w:lang w:val="fr-FR"/>
        </w:rPr>
        <w:t>erche.</w:t>
      </w:r>
    </w:p>
    <w:p w:rsidR="00F340F9" w:rsidRPr="00F340F9" w:rsidRDefault="00F340F9">
      <w:pPr>
        <w:rPr>
          <w:rFonts w:ascii="Arial" w:hAnsi="Arial" w:cs="Arial"/>
          <w:lang w:val="fr-FR" w:eastAsia="ja-JP"/>
        </w:rPr>
      </w:pPr>
    </w:p>
    <w:p w:rsidR="00D25367" w:rsidRDefault="00D25367" w:rsidP="00D25367">
      <w:pPr>
        <w:rPr>
          <w:b/>
          <w:sz w:val="32"/>
          <w:lang w:val="fr-FR"/>
        </w:rPr>
      </w:pPr>
      <w:r>
        <w:rPr>
          <w:b/>
          <w:sz w:val="32"/>
          <w:lang w:val="fr-FR"/>
        </w:rPr>
        <w:t>DOMAINES D’INTERVENTION</w:t>
      </w:r>
    </w:p>
    <w:p w:rsidR="005A2E3F" w:rsidRPr="005A2E3F" w:rsidRDefault="005A2E3F" w:rsidP="00785AA4">
      <w:pPr>
        <w:jc w:val="both"/>
        <w:rPr>
          <w:u w:val="single"/>
          <w:lang w:val="fr-FR"/>
        </w:rPr>
      </w:pPr>
      <w:r w:rsidRPr="005A2E3F">
        <w:rPr>
          <w:u w:val="single"/>
          <w:lang w:val="fr-FR"/>
        </w:rPr>
        <w:t xml:space="preserve">Thématiques </w:t>
      </w:r>
    </w:p>
    <w:p w:rsidR="005A0928" w:rsidRPr="00785AA4" w:rsidRDefault="005A0928" w:rsidP="00785AA4">
      <w:pPr>
        <w:jc w:val="both"/>
        <w:rPr>
          <w:lang w:val="fr-FR"/>
        </w:rPr>
      </w:pPr>
      <w:r>
        <w:rPr>
          <w:lang w:val="fr-FR"/>
        </w:rPr>
        <w:t xml:space="preserve">L’appel à candidatures vise des étudiant(e)s travaillant sur la question des droits humains ou souhaitant approfondir cette thématique au sein de leurs travaux de recherche. Par </w:t>
      </w:r>
      <w:r w:rsidRPr="005A2E3F">
        <w:rPr>
          <w:b/>
          <w:lang w:val="fr-FR"/>
        </w:rPr>
        <w:t>droits humains</w:t>
      </w:r>
      <w:r>
        <w:rPr>
          <w:lang w:val="fr-FR"/>
        </w:rPr>
        <w:t>, on entend :</w:t>
      </w:r>
      <w:r w:rsidRPr="00260F81">
        <w:rPr>
          <w:lang w:val="fr-FR"/>
        </w:rPr>
        <w:t xml:space="preserve"> </w:t>
      </w:r>
      <w:r w:rsidRPr="005A2E3F">
        <w:rPr>
          <w:b/>
          <w:lang w:val="fr-FR"/>
        </w:rPr>
        <w:t xml:space="preserve">libertés individuelles, droits fondamentaux, droits collectifs, droits </w:t>
      </w:r>
      <w:r w:rsidR="00596797" w:rsidRPr="005A2E3F">
        <w:rPr>
          <w:b/>
          <w:lang w:val="fr-FR"/>
        </w:rPr>
        <w:t>spécifiques à des minorités ou à des groupes vulnérables tels que</w:t>
      </w:r>
      <w:r w:rsidR="00785AA4" w:rsidRPr="005A2E3F">
        <w:rPr>
          <w:b/>
          <w:lang w:val="fr-FR"/>
        </w:rPr>
        <w:t xml:space="preserve"> les femmes, l</w:t>
      </w:r>
      <w:r w:rsidRPr="005A2E3F">
        <w:rPr>
          <w:b/>
          <w:lang w:val="fr-FR"/>
        </w:rPr>
        <w:t>es détenu</w:t>
      </w:r>
      <w:r w:rsidR="00596797" w:rsidRPr="005A2E3F">
        <w:rPr>
          <w:b/>
          <w:lang w:val="fr-FR"/>
        </w:rPr>
        <w:t>(e)</w:t>
      </w:r>
      <w:r w:rsidRPr="005A2E3F">
        <w:rPr>
          <w:b/>
          <w:lang w:val="fr-FR"/>
        </w:rPr>
        <w:t>s</w:t>
      </w:r>
      <w:r w:rsidR="00785AA4" w:rsidRPr="005A2E3F">
        <w:rPr>
          <w:b/>
          <w:lang w:val="fr-FR"/>
        </w:rPr>
        <w:t>, les mineurs</w:t>
      </w:r>
      <w:r w:rsidR="00785AA4">
        <w:rPr>
          <w:lang w:val="fr-FR"/>
        </w:rPr>
        <w:t>.</w:t>
      </w:r>
    </w:p>
    <w:p w:rsidR="005A0928" w:rsidRDefault="00000523" w:rsidP="00000523">
      <w:pPr>
        <w:jc w:val="both"/>
        <w:rPr>
          <w:lang w:val="fr-FR"/>
        </w:rPr>
      </w:pPr>
      <w:r w:rsidRPr="005A2E3F">
        <w:rPr>
          <w:b/>
          <w:lang w:val="fr-FR"/>
        </w:rPr>
        <w:t>Le genre</w:t>
      </w:r>
      <w:r>
        <w:rPr>
          <w:lang w:val="fr-FR"/>
        </w:rPr>
        <w:t xml:space="preserve"> représente une thématique prioritaire pour AJULIH. </w:t>
      </w:r>
      <w:r w:rsidRPr="00260F81">
        <w:rPr>
          <w:lang w:val="fr-FR"/>
        </w:rPr>
        <w:t xml:space="preserve">Une attention particulière sera </w:t>
      </w:r>
      <w:r w:rsidR="00785AA4">
        <w:rPr>
          <w:lang w:val="fr-FR"/>
        </w:rPr>
        <w:t xml:space="preserve">donc </w:t>
      </w:r>
      <w:r w:rsidRPr="00260F81">
        <w:rPr>
          <w:lang w:val="fr-FR"/>
        </w:rPr>
        <w:t>portée</w:t>
      </w:r>
      <w:r>
        <w:rPr>
          <w:lang w:val="fr-FR"/>
        </w:rPr>
        <w:t xml:space="preserve"> aux candidatures valorisant la </w:t>
      </w:r>
      <w:r w:rsidR="00785AA4">
        <w:rPr>
          <w:lang w:val="fr-FR"/>
        </w:rPr>
        <w:t>réflexion sur cette thématique, même si de manière transversale à d’autres thématiques.</w:t>
      </w:r>
    </w:p>
    <w:p w:rsidR="005A2E3F" w:rsidRPr="005A2E3F" w:rsidRDefault="005A2E3F" w:rsidP="00000523">
      <w:pPr>
        <w:jc w:val="both"/>
        <w:rPr>
          <w:u w:val="single"/>
          <w:lang w:val="fr-FR"/>
        </w:rPr>
      </w:pPr>
      <w:r w:rsidRPr="005A2E3F">
        <w:rPr>
          <w:u w:val="single"/>
          <w:lang w:val="fr-FR"/>
        </w:rPr>
        <w:t>Disciplines</w:t>
      </w:r>
    </w:p>
    <w:p w:rsidR="005A2E3F" w:rsidRDefault="005A2E3F" w:rsidP="00000523">
      <w:pPr>
        <w:jc w:val="both"/>
        <w:rPr>
          <w:lang w:val="fr-FR"/>
        </w:rPr>
      </w:pPr>
      <w:r>
        <w:rPr>
          <w:lang w:val="fr-FR"/>
        </w:rPr>
        <w:t xml:space="preserve">Les disciplines concernées sont </w:t>
      </w:r>
      <w:r w:rsidRPr="005A2E3F">
        <w:rPr>
          <w:b/>
          <w:lang w:val="fr-FR"/>
        </w:rPr>
        <w:t xml:space="preserve">le droit, </w:t>
      </w:r>
      <w:r w:rsidR="004E4BC6">
        <w:rPr>
          <w:b/>
          <w:lang w:val="fr-FR"/>
        </w:rPr>
        <w:t>les sciences humaines (histoire, philosophie, sociologie</w:t>
      </w:r>
      <w:r w:rsidR="0085702C">
        <w:rPr>
          <w:b/>
          <w:lang w:val="fr-FR"/>
        </w:rPr>
        <w:t>, anthropologie</w:t>
      </w:r>
      <w:r w:rsidR="004E4BC6">
        <w:rPr>
          <w:b/>
          <w:lang w:val="fr-FR"/>
        </w:rPr>
        <w:t xml:space="preserve">), </w:t>
      </w:r>
      <w:r w:rsidRPr="005A2E3F">
        <w:rPr>
          <w:b/>
          <w:lang w:val="fr-FR"/>
        </w:rPr>
        <w:t xml:space="preserve">la </w:t>
      </w:r>
      <w:r w:rsidR="004E4BC6">
        <w:rPr>
          <w:b/>
          <w:lang w:val="fr-FR"/>
        </w:rPr>
        <w:t>psychologie, le travail social</w:t>
      </w:r>
      <w:r>
        <w:rPr>
          <w:lang w:val="fr-FR"/>
        </w:rPr>
        <w:t xml:space="preserve">, et tout autre domaine pertinent. </w:t>
      </w:r>
    </w:p>
    <w:p w:rsidR="00000523" w:rsidRDefault="00000523" w:rsidP="00000523">
      <w:pPr>
        <w:jc w:val="both"/>
        <w:rPr>
          <w:lang w:val="fr-FR"/>
        </w:rPr>
      </w:pPr>
    </w:p>
    <w:p w:rsidR="00BC4655" w:rsidRDefault="00BC4655" w:rsidP="00BC4655">
      <w:pPr>
        <w:rPr>
          <w:lang w:val="fr-FR"/>
        </w:rPr>
      </w:pPr>
      <w:r>
        <w:rPr>
          <w:b/>
          <w:sz w:val="32"/>
          <w:lang w:val="fr-FR"/>
        </w:rPr>
        <w:t>CONDITIONS OBLIGATOIRES REQUISES &amp; CRIT</w:t>
      </w:r>
      <w:r>
        <w:rPr>
          <w:rFonts w:cstheme="minorHAnsi"/>
          <w:b/>
          <w:sz w:val="32"/>
          <w:lang w:val="fr-FR"/>
        </w:rPr>
        <w:t>È</w:t>
      </w:r>
      <w:r>
        <w:rPr>
          <w:b/>
          <w:sz w:val="32"/>
          <w:lang w:val="fr-FR"/>
        </w:rPr>
        <w:t>RES D’</w:t>
      </w:r>
      <w:r>
        <w:rPr>
          <w:rFonts w:cstheme="minorHAnsi"/>
          <w:b/>
          <w:sz w:val="32"/>
          <w:lang w:val="fr-FR"/>
        </w:rPr>
        <w:t>É</w:t>
      </w:r>
      <w:r>
        <w:rPr>
          <w:b/>
          <w:sz w:val="32"/>
          <w:lang w:val="fr-FR"/>
        </w:rPr>
        <w:t>LIGIBILIT</w:t>
      </w:r>
      <w:r>
        <w:rPr>
          <w:rFonts w:cstheme="minorHAnsi"/>
          <w:b/>
          <w:sz w:val="32"/>
          <w:lang w:val="fr-FR"/>
        </w:rPr>
        <w:t>É</w:t>
      </w:r>
    </w:p>
    <w:p w:rsidR="0046414D" w:rsidRDefault="00BC4655" w:rsidP="0046414D">
      <w:pPr>
        <w:jc w:val="both"/>
        <w:rPr>
          <w:lang w:val="fr-FR"/>
        </w:rPr>
      </w:pPr>
      <w:r>
        <w:rPr>
          <w:lang w:val="fr-FR"/>
        </w:rPr>
        <w:t>L’ensemble d</w:t>
      </w:r>
      <w:r w:rsidR="0046414D" w:rsidRPr="0046414D">
        <w:rPr>
          <w:lang w:val="fr-FR"/>
        </w:rPr>
        <w:t xml:space="preserve">es bourses </w:t>
      </w:r>
      <w:r>
        <w:rPr>
          <w:lang w:val="fr-FR"/>
        </w:rPr>
        <w:t>est</w:t>
      </w:r>
      <w:r w:rsidR="0046414D" w:rsidRPr="0046414D">
        <w:rPr>
          <w:lang w:val="fr-FR"/>
        </w:rPr>
        <w:t xml:space="preserve"> attribué sur des critères académiques d’excellence, tout en prenant en compte</w:t>
      </w:r>
      <w:r>
        <w:rPr>
          <w:lang w:val="fr-FR"/>
        </w:rPr>
        <w:t xml:space="preserve"> le</w:t>
      </w:r>
      <w:r w:rsidR="00000523">
        <w:rPr>
          <w:lang w:val="fr-FR"/>
        </w:rPr>
        <w:t xml:space="preserve">  niveau  socio-économique des</w:t>
      </w:r>
      <w:r w:rsidR="0046414D" w:rsidRPr="0046414D">
        <w:rPr>
          <w:lang w:val="fr-FR"/>
        </w:rPr>
        <w:t xml:space="preserve"> candidat</w:t>
      </w:r>
      <w:r>
        <w:rPr>
          <w:lang w:val="fr-FR"/>
        </w:rPr>
        <w:t>(e)</w:t>
      </w:r>
      <w:r w:rsidR="00000523">
        <w:rPr>
          <w:lang w:val="fr-FR"/>
        </w:rPr>
        <w:t>s</w:t>
      </w:r>
      <w:r w:rsidR="0046414D" w:rsidRPr="0046414D">
        <w:rPr>
          <w:lang w:val="fr-FR"/>
        </w:rPr>
        <w:t>. </w:t>
      </w:r>
    </w:p>
    <w:p w:rsidR="005A2E3F" w:rsidRDefault="00A33367" w:rsidP="0046414D">
      <w:pPr>
        <w:jc w:val="both"/>
        <w:rPr>
          <w:lang w:val="fr-FR"/>
        </w:rPr>
      </w:pPr>
      <w:r>
        <w:rPr>
          <w:lang w:val="fr-FR"/>
        </w:rPr>
        <w:t>Deux</w:t>
      </w:r>
      <w:r w:rsidR="009361DC">
        <w:rPr>
          <w:lang w:val="fr-FR"/>
        </w:rPr>
        <w:t xml:space="preserve"> types de bourses sont octroyé</w:t>
      </w:r>
      <w:r w:rsidR="001A4C86">
        <w:rPr>
          <w:lang w:val="fr-FR"/>
        </w:rPr>
        <w:t xml:space="preserve">s : </w:t>
      </w:r>
    </w:p>
    <w:p w:rsidR="00C3760D" w:rsidRDefault="00C3760D" w:rsidP="001A4C86">
      <w:pPr>
        <w:pStyle w:val="ListParagraph"/>
        <w:numPr>
          <w:ilvl w:val="0"/>
          <w:numId w:val="1"/>
        </w:numPr>
        <w:jc w:val="both"/>
        <w:rPr>
          <w:lang w:val="fr-FR"/>
        </w:rPr>
      </w:pPr>
      <w:r>
        <w:rPr>
          <w:lang w:val="fr-FR"/>
        </w:rPr>
        <w:lastRenderedPageBreak/>
        <w:t>Des bourses d’étude pour la fin du 1</w:t>
      </w:r>
      <w:r w:rsidRPr="00C3760D">
        <w:rPr>
          <w:vertAlign w:val="superscript"/>
          <w:lang w:val="fr-FR"/>
        </w:rPr>
        <w:t>er</w:t>
      </w:r>
      <w:r>
        <w:rPr>
          <w:lang w:val="fr-FR"/>
        </w:rPr>
        <w:t xml:space="preserve"> cycle </w:t>
      </w:r>
      <w:r w:rsidR="008359EB">
        <w:rPr>
          <w:lang w:val="fr-FR"/>
        </w:rPr>
        <w:t xml:space="preserve"> (passage de la 3</w:t>
      </w:r>
      <w:r w:rsidR="008359EB" w:rsidRPr="008359EB">
        <w:rPr>
          <w:vertAlign w:val="superscript"/>
          <w:lang w:val="fr-FR"/>
        </w:rPr>
        <w:t>ème</w:t>
      </w:r>
      <w:r w:rsidR="008359EB">
        <w:rPr>
          <w:lang w:val="fr-FR"/>
        </w:rPr>
        <w:t xml:space="preserve"> à la 4</w:t>
      </w:r>
      <w:r w:rsidR="008359EB" w:rsidRPr="008359EB">
        <w:rPr>
          <w:vertAlign w:val="superscript"/>
          <w:lang w:val="fr-FR"/>
        </w:rPr>
        <w:t>ème</w:t>
      </w:r>
      <w:r w:rsidR="008359EB">
        <w:rPr>
          <w:lang w:val="fr-FR"/>
        </w:rPr>
        <w:t xml:space="preserve"> année de licence)</w:t>
      </w:r>
    </w:p>
    <w:p w:rsidR="002963E9" w:rsidRDefault="00C3760D" w:rsidP="002963E9">
      <w:pPr>
        <w:pStyle w:val="ListParagraph"/>
        <w:numPr>
          <w:ilvl w:val="0"/>
          <w:numId w:val="1"/>
        </w:numPr>
        <w:jc w:val="both"/>
        <w:rPr>
          <w:lang w:val="fr-FR"/>
        </w:rPr>
      </w:pPr>
      <w:r>
        <w:rPr>
          <w:lang w:val="fr-FR"/>
        </w:rPr>
        <w:t>Des bourses d’appui pour les mémoires de fin de 1</w:t>
      </w:r>
      <w:r w:rsidRPr="00C3760D">
        <w:rPr>
          <w:vertAlign w:val="superscript"/>
          <w:lang w:val="fr-FR"/>
        </w:rPr>
        <w:t>er</w:t>
      </w:r>
      <w:r>
        <w:rPr>
          <w:lang w:val="fr-FR"/>
        </w:rPr>
        <w:t xml:space="preserve"> cycle </w:t>
      </w:r>
      <w:r w:rsidR="008359EB">
        <w:rPr>
          <w:lang w:val="fr-FR"/>
        </w:rPr>
        <w:t xml:space="preserve"> (mémoire de 4</w:t>
      </w:r>
      <w:r w:rsidR="008359EB" w:rsidRPr="008359EB">
        <w:rPr>
          <w:vertAlign w:val="superscript"/>
          <w:lang w:val="fr-FR"/>
        </w:rPr>
        <w:t>ème</w:t>
      </w:r>
      <w:r w:rsidR="008359EB">
        <w:rPr>
          <w:lang w:val="fr-FR"/>
        </w:rPr>
        <w:t xml:space="preserve"> année)</w:t>
      </w:r>
      <w:r w:rsidR="002963E9" w:rsidRPr="002963E9">
        <w:rPr>
          <w:lang w:val="fr-FR"/>
        </w:rPr>
        <w:t xml:space="preserve"> </w:t>
      </w:r>
    </w:p>
    <w:p w:rsidR="00C3760D" w:rsidRPr="00C3760D" w:rsidRDefault="00242160" w:rsidP="00C3760D">
      <w:pPr>
        <w:jc w:val="both"/>
        <w:rPr>
          <w:rFonts w:ascii="Arial" w:hAnsi="Arial" w:cs="Arial"/>
          <w:lang w:val="fr-FR" w:eastAsia="ja-JP"/>
        </w:rPr>
      </w:pPr>
      <w:r>
        <w:rPr>
          <w:lang w:val="fr-FR"/>
        </w:rPr>
        <w:t>Voir le tableau ci-dessous les détails liés à chaque type de bourse</w:t>
      </w:r>
      <w:r w:rsidR="0085702C">
        <w:rPr>
          <w:lang w:val="fr-FR"/>
        </w:rPr>
        <w:t xml:space="preserve">. </w:t>
      </w:r>
    </w:p>
    <w:p w:rsidR="0046414D" w:rsidRPr="0046414D" w:rsidRDefault="0046414D" w:rsidP="0046414D">
      <w:pPr>
        <w:jc w:val="both"/>
        <w:rPr>
          <w:lang w:val="fr-FR"/>
        </w:rPr>
      </w:pPr>
      <w:r w:rsidRPr="00000523">
        <w:rPr>
          <w:lang w:val="fr-FR"/>
        </w:rPr>
        <w:t xml:space="preserve">Pour que votre demande soit admissible, </w:t>
      </w:r>
      <w:r w:rsidR="00B82E6D" w:rsidRPr="00000523">
        <w:rPr>
          <w:lang w:val="fr-FR"/>
        </w:rPr>
        <w:t>veuillez-vous</w:t>
      </w:r>
      <w:r w:rsidRPr="00000523">
        <w:rPr>
          <w:lang w:val="fr-FR"/>
        </w:rPr>
        <w:t xml:space="preserve"> assurer que tous le</w:t>
      </w:r>
      <w:r w:rsidR="00242160">
        <w:rPr>
          <w:lang w:val="fr-FR"/>
        </w:rPr>
        <w:t>s documents exigés ci-dessous</w:t>
      </w:r>
      <w:r w:rsidR="00785AA4">
        <w:rPr>
          <w:lang w:val="fr-FR"/>
        </w:rPr>
        <w:t xml:space="preserve"> </w:t>
      </w:r>
      <w:r w:rsidRPr="00000523">
        <w:rPr>
          <w:lang w:val="fr-FR"/>
        </w:rPr>
        <w:t>soient inclus</w:t>
      </w:r>
      <w:r w:rsidR="00242160">
        <w:rPr>
          <w:lang w:val="fr-FR"/>
        </w:rPr>
        <w:t xml:space="preserve"> à votre demande</w:t>
      </w:r>
      <w:r w:rsidRPr="00000523">
        <w:rPr>
          <w:lang w:val="fr-FR"/>
        </w:rPr>
        <w:t>.</w:t>
      </w:r>
      <w:r w:rsidR="00785AA4">
        <w:rPr>
          <w:lang w:val="fr-FR"/>
        </w:rPr>
        <w:t xml:space="preserve"> Dans le cas contraire, votre demande ne pourra pas être traitée. </w:t>
      </w:r>
    </w:p>
    <w:tbl>
      <w:tblPr>
        <w:tblW w:w="10909" w:type="dxa"/>
        <w:tblInd w:w="-6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728"/>
        <w:gridCol w:w="2070"/>
        <w:gridCol w:w="2430"/>
        <w:gridCol w:w="1890"/>
        <w:gridCol w:w="2791"/>
      </w:tblGrid>
      <w:tr w:rsidR="002963E9" w:rsidRPr="00000523" w:rsidTr="00517CA2">
        <w:trPr>
          <w:trHeight w:val="663"/>
        </w:trPr>
        <w:tc>
          <w:tcPr>
            <w:tcW w:w="1728" w:type="dxa"/>
            <w:shd w:val="clear" w:color="auto" w:fill="D9D9D9"/>
          </w:tcPr>
          <w:p w:rsidR="002963E9" w:rsidRPr="00000523" w:rsidRDefault="002963E9" w:rsidP="0046414D">
            <w:pPr>
              <w:spacing w:after="0"/>
              <w:jc w:val="center"/>
              <w:rPr>
                <w:rFonts w:cstheme="minorHAnsi"/>
                <w:b/>
                <w:sz w:val="20"/>
                <w:szCs w:val="20"/>
                <w:lang w:val="fr-FR"/>
              </w:rPr>
            </w:pPr>
            <w:r w:rsidRPr="00000523">
              <w:rPr>
                <w:rFonts w:cstheme="minorHAnsi"/>
                <w:b/>
                <w:sz w:val="20"/>
                <w:szCs w:val="20"/>
                <w:lang w:val="fr-FR"/>
              </w:rPr>
              <w:t>Bourse d’Etude locale</w:t>
            </w:r>
          </w:p>
        </w:tc>
        <w:tc>
          <w:tcPr>
            <w:tcW w:w="2070" w:type="dxa"/>
            <w:shd w:val="clear" w:color="auto" w:fill="D9D9D9"/>
          </w:tcPr>
          <w:p w:rsidR="002963E9" w:rsidRPr="00000523" w:rsidRDefault="002963E9" w:rsidP="0046414D">
            <w:pPr>
              <w:jc w:val="center"/>
              <w:rPr>
                <w:rFonts w:cstheme="minorHAnsi"/>
                <w:b/>
                <w:sz w:val="20"/>
                <w:szCs w:val="20"/>
                <w:lang w:val="fr-FR"/>
              </w:rPr>
            </w:pPr>
            <w:r w:rsidRPr="00000523">
              <w:rPr>
                <w:rFonts w:cstheme="minorHAnsi"/>
                <w:b/>
                <w:sz w:val="20"/>
                <w:szCs w:val="20"/>
                <w:lang w:val="fr-FR"/>
              </w:rPr>
              <w:t>Etablissements reconnus</w:t>
            </w:r>
          </w:p>
        </w:tc>
        <w:tc>
          <w:tcPr>
            <w:tcW w:w="2430" w:type="dxa"/>
            <w:shd w:val="clear" w:color="auto" w:fill="D9D9D9"/>
          </w:tcPr>
          <w:p w:rsidR="002963E9" w:rsidRPr="00000523" w:rsidRDefault="002963E9" w:rsidP="0046414D">
            <w:pPr>
              <w:spacing w:after="0" w:line="240" w:lineRule="auto"/>
              <w:jc w:val="center"/>
              <w:rPr>
                <w:rFonts w:cstheme="minorHAnsi"/>
                <w:b/>
                <w:sz w:val="20"/>
                <w:szCs w:val="20"/>
                <w:lang w:val="fr-FR"/>
              </w:rPr>
            </w:pPr>
            <w:r w:rsidRPr="00000523">
              <w:rPr>
                <w:rFonts w:cstheme="minorHAnsi"/>
                <w:b/>
                <w:sz w:val="20"/>
                <w:szCs w:val="20"/>
                <w:lang w:val="fr-FR"/>
              </w:rPr>
              <w:t>Documents exigés</w:t>
            </w:r>
          </w:p>
          <w:p w:rsidR="002963E9" w:rsidRPr="00000523" w:rsidRDefault="002963E9" w:rsidP="0046414D">
            <w:pPr>
              <w:spacing w:after="0" w:line="240" w:lineRule="auto"/>
              <w:jc w:val="center"/>
              <w:rPr>
                <w:rFonts w:cstheme="minorHAnsi"/>
                <w:b/>
                <w:sz w:val="20"/>
                <w:szCs w:val="20"/>
                <w:lang w:val="fr-FR"/>
              </w:rPr>
            </w:pPr>
            <w:r w:rsidRPr="00000523">
              <w:rPr>
                <w:rFonts w:cstheme="minorHAnsi"/>
                <w:b/>
                <w:sz w:val="20"/>
                <w:szCs w:val="20"/>
                <w:lang w:val="fr-FR"/>
              </w:rPr>
              <w:t>(A soumettre en pièce attachée)</w:t>
            </w:r>
          </w:p>
        </w:tc>
        <w:tc>
          <w:tcPr>
            <w:tcW w:w="1890" w:type="dxa"/>
            <w:shd w:val="clear" w:color="auto" w:fill="D9D9D9"/>
          </w:tcPr>
          <w:p w:rsidR="002963E9" w:rsidRPr="00000523" w:rsidRDefault="002963E9" w:rsidP="0046414D">
            <w:pPr>
              <w:jc w:val="center"/>
              <w:rPr>
                <w:rFonts w:cstheme="minorHAnsi"/>
                <w:b/>
                <w:sz w:val="20"/>
                <w:szCs w:val="20"/>
                <w:lang w:val="fr-FR"/>
              </w:rPr>
            </w:pPr>
            <w:r>
              <w:rPr>
                <w:rFonts w:cstheme="minorHAnsi"/>
                <w:b/>
                <w:sz w:val="20"/>
                <w:szCs w:val="20"/>
                <w:lang w:val="fr-FR"/>
              </w:rPr>
              <w:t xml:space="preserve">Thématiques </w:t>
            </w:r>
          </w:p>
        </w:tc>
        <w:tc>
          <w:tcPr>
            <w:tcW w:w="2791" w:type="dxa"/>
            <w:shd w:val="clear" w:color="auto" w:fill="D9D9D9"/>
          </w:tcPr>
          <w:p w:rsidR="002963E9" w:rsidRPr="00000523" w:rsidRDefault="00B30F8C" w:rsidP="00B30F8C">
            <w:pPr>
              <w:jc w:val="center"/>
              <w:rPr>
                <w:rFonts w:cstheme="minorHAnsi"/>
                <w:b/>
                <w:sz w:val="20"/>
                <w:szCs w:val="20"/>
                <w:lang w:val="fr-FR"/>
              </w:rPr>
            </w:pPr>
            <w:r>
              <w:rPr>
                <w:rFonts w:cstheme="minorHAnsi"/>
                <w:b/>
                <w:sz w:val="20"/>
                <w:szCs w:val="20"/>
                <w:lang w:val="fr-FR"/>
              </w:rPr>
              <w:t>Modalités du f</w:t>
            </w:r>
            <w:r w:rsidR="002963E9" w:rsidRPr="00000523">
              <w:rPr>
                <w:rFonts w:cstheme="minorHAnsi"/>
                <w:b/>
                <w:sz w:val="20"/>
                <w:szCs w:val="20"/>
                <w:lang w:val="fr-FR"/>
              </w:rPr>
              <w:t>inancement</w:t>
            </w:r>
          </w:p>
        </w:tc>
      </w:tr>
      <w:tr w:rsidR="002963E9" w:rsidRPr="00AF4A59" w:rsidTr="00517CA2">
        <w:trPr>
          <w:trHeight w:val="2562"/>
        </w:trPr>
        <w:tc>
          <w:tcPr>
            <w:tcW w:w="1728" w:type="dxa"/>
          </w:tcPr>
          <w:p w:rsidR="002963E9" w:rsidRPr="002B2F38" w:rsidRDefault="002963E9" w:rsidP="005A2E3F">
            <w:pPr>
              <w:jc w:val="both"/>
              <w:rPr>
                <w:rFonts w:cstheme="minorHAnsi"/>
                <w:b/>
                <w:sz w:val="20"/>
                <w:szCs w:val="20"/>
                <w:lang w:val="fr-FR"/>
              </w:rPr>
            </w:pPr>
            <w:r w:rsidRPr="002B2F38">
              <w:rPr>
                <w:rFonts w:cstheme="minorHAnsi"/>
                <w:b/>
                <w:sz w:val="20"/>
                <w:szCs w:val="20"/>
                <w:lang w:val="fr-FR"/>
              </w:rPr>
              <w:t>Fin du 1</w:t>
            </w:r>
            <w:r w:rsidRPr="002B2F38">
              <w:rPr>
                <w:rFonts w:cstheme="minorHAnsi"/>
                <w:b/>
                <w:sz w:val="20"/>
                <w:szCs w:val="20"/>
                <w:vertAlign w:val="superscript"/>
                <w:lang w:val="fr-FR"/>
              </w:rPr>
              <w:t>er</w:t>
            </w:r>
            <w:r w:rsidRPr="002B2F38">
              <w:rPr>
                <w:rFonts w:cstheme="minorHAnsi"/>
                <w:b/>
                <w:sz w:val="20"/>
                <w:szCs w:val="20"/>
                <w:lang w:val="fr-FR"/>
              </w:rPr>
              <w:t xml:space="preserve"> cycle universitaire (passage de la 3</w:t>
            </w:r>
            <w:r w:rsidRPr="002B2F38">
              <w:rPr>
                <w:rFonts w:cstheme="minorHAnsi"/>
                <w:b/>
                <w:sz w:val="20"/>
                <w:szCs w:val="20"/>
                <w:vertAlign w:val="superscript"/>
                <w:lang w:val="fr-FR"/>
              </w:rPr>
              <w:t>ème</w:t>
            </w:r>
            <w:r w:rsidRPr="002B2F38">
              <w:rPr>
                <w:rFonts w:cstheme="minorHAnsi"/>
                <w:b/>
                <w:sz w:val="20"/>
                <w:szCs w:val="20"/>
                <w:lang w:val="fr-FR"/>
              </w:rPr>
              <w:t xml:space="preserve"> année à la 4</w:t>
            </w:r>
            <w:r w:rsidRPr="002B2F38">
              <w:rPr>
                <w:rFonts w:cstheme="minorHAnsi"/>
                <w:b/>
                <w:sz w:val="20"/>
                <w:szCs w:val="20"/>
                <w:vertAlign w:val="superscript"/>
                <w:lang w:val="fr-FR"/>
              </w:rPr>
              <w:t>ème</w:t>
            </w:r>
            <w:r w:rsidRPr="002B2F38">
              <w:rPr>
                <w:rFonts w:cstheme="minorHAnsi"/>
                <w:b/>
                <w:sz w:val="20"/>
                <w:szCs w:val="20"/>
                <w:lang w:val="fr-FR"/>
              </w:rPr>
              <w:t xml:space="preserve"> année de licence)</w:t>
            </w:r>
          </w:p>
        </w:tc>
        <w:tc>
          <w:tcPr>
            <w:tcW w:w="2070" w:type="dxa"/>
          </w:tcPr>
          <w:p w:rsidR="002963E9" w:rsidRPr="009361DC" w:rsidRDefault="002963E9" w:rsidP="005A0928">
            <w:pPr>
              <w:jc w:val="both"/>
              <w:rPr>
                <w:rFonts w:cstheme="minorHAnsi"/>
                <w:sz w:val="20"/>
                <w:szCs w:val="20"/>
                <w:lang w:val="fr-FR"/>
              </w:rPr>
            </w:pPr>
            <w:r w:rsidRPr="009361DC">
              <w:rPr>
                <w:rFonts w:cstheme="minorHAnsi"/>
                <w:sz w:val="20"/>
                <w:szCs w:val="20"/>
                <w:lang w:val="fr-FR"/>
              </w:rPr>
              <w:t>Etablissement</w:t>
            </w:r>
            <w:r w:rsidR="00B1054E">
              <w:rPr>
                <w:rFonts w:cstheme="minorHAnsi"/>
                <w:sz w:val="20"/>
                <w:szCs w:val="20"/>
                <w:lang w:val="fr-FR"/>
              </w:rPr>
              <w:t>s</w:t>
            </w:r>
            <w:r w:rsidRPr="009361DC">
              <w:rPr>
                <w:rFonts w:cstheme="minorHAnsi"/>
                <w:sz w:val="20"/>
                <w:szCs w:val="20"/>
                <w:lang w:val="fr-FR"/>
              </w:rPr>
              <w:t xml:space="preserve"> d’enseignement supérieur membres de l’AUF</w:t>
            </w:r>
          </w:p>
          <w:p w:rsidR="002963E9" w:rsidRPr="009361DC" w:rsidRDefault="00D83D3C" w:rsidP="005A0928">
            <w:pPr>
              <w:jc w:val="both"/>
              <w:rPr>
                <w:rFonts w:cstheme="minorHAnsi"/>
                <w:sz w:val="20"/>
                <w:szCs w:val="20"/>
                <w:lang w:val="fr-FR"/>
              </w:rPr>
            </w:pPr>
            <w:hyperlink r:id="rId12" w:history="1">
              <w:r w:rsidR="002963E9" w:rsidRPr="009361DC">
                <w:rPr>
                  <w:rStyle w:val="Hyperlink"/>
                  <w:rFonts w:cstheme="minorHAnsi"/>
                  <w:sz w:val="20"/>
                  <w:szCs w:val="20"/>
                  <w:lang w:val="fr-FR"/>
                </w:rPr>
                <w:t>http://www.auf.org/bureau-caraibe/</w:t>
              </w:r>
            </w:hyperlink>
          </w:p>
        </w:tc>
        <w:tc>
          <w:tcPr>
            <w:tcW w:w="2430" w:type="dxa"/>
          </w:tcPr>
          <w:p w:rsidR="002963E9" w:rsidRPr="009361DC" w:rsidRDefault="002963E9" w:rsidP="005A0928">
            <w:pPr>
              <w:jc w:val="both"/>
              <w:rPr>
                <w:rFonts w:cstheme="minorHAnsi"/>
                <w:sz w:val="20"/>
                <w:szCs w:val="20"/>
                <w:lang w:val="fr-FR"/>
              </w:rPr>
            </w:pPr>
            <w:r w:rsidRPr="009361DC">
              <w:rPr>
                <w:rFonts w:cstheme="minorHAnsi"/>
                <w:sz w:val="20"/>
                <w:szCs w:val="20"/>
                <w:lang w:val="fr-FR"/>
              </w:rPr>
              <w:t>1. Diplômes BAC I &amp; II</w:t>
            </w:r>
          </w:p>
          <w:p w:rsidR="002963E9" w:rsidRPr="009361DC" w:rsidRDefault="002963E9" w:rsidP="005A0928">
            <w:pPr>
              <w:jc w:val="both"/>
              <w:rPr>
                <w:rFonts w:cstheme="minorHAnsi"/>
                <w:sz w:val="20"/>
                <w:szCs w:val="20"/>
                <w:lang w:val="fr-FR"/>
              </w:rPr>
            </w:pPr>
            <w:r w:rsidRPr="009361DC">
              <w:rPr>
                <w:rFonts w:cstheme="minorHAnsi"/>
                <w:sz w:val="20"/>
                <w:szCs w:val="20"/>
                <w:lang w:val="fr-FR"/>
              </w:rPr>
              <w:t>2. Relevé de note 1</w:t>
            </w:r>
            <w:r w:rsidRPr="009361DC">
              <w:rPr>
                <w:rFonts w:cstheme="minorHAnsi"/>
                <w:sz w:val="20"/>
                <w:szCs w:val="20"/>
                <w:vertAlign w:val="superscript"/>
                <w:lang w:val="fr-FR"/>
              </w:rPr>
              <w:t>er</w:t>
            </w:r>
            <w:r w:rsidRPr="009361DC">
              <w:rPr>
                <w:rFonts w:cstheme="minorHAnsi"/>
                <w:sz w:val="20"/>
                <w:szCs w:val="20"/>
                <w:lang w:val="fr-FR"/>
              </w:rPr>
              <w:t xml:space="preserve"> cycle (Moyenne minimum de 70 exigée)</w:t>
            </w:r>
          </w:p>
          <w:p w:rsidR="002963E9" w:rsidRPr="009361DC" w:rsidRDefault="002963E9" w:rsidP="005A0928">
            <w:pPr>
              <w:jc w:val="both"/>
              <w:rPr>
                <w:rFonts w:cstheme="minorHAnsi"/>
                <w:sz w:val="20"/>
                <w:szCs w:val="20"/>
                <w:lang w:val="fr-FR"/>
              </w:rPr>
            </w:pPr>
            <w:r w:rsidRPr="009361DC">
              <w:rPr>
                <w:rFonts w:cstheme="minorHAnsi"/>
                <w:sz w:val="20"/>
                <w:szCs w:val="20"/>
                <w:lang w:val="fr-FR"/>
              </w:rPr>
              <w:t>3. Lettre de motivation (motif de la demande, objectif poursuivi, preuve que le demandeur n’est pas en mesure de payer sa scolarité, institution pressentie pour le stage)</w:t>
            </w:r>
          </w:p>
          <w:p w:rsidR="002963E9" w:rsidRPr="009361DC" w:rsidRDefault="002963E9" w:rsidP="005A0928">
            <w:pPr>
              <w:rPr>
                <w:rFonts w:cstheme="minorHAnsi"/>
                <w:sz w:val="20"/>
                <w:szCs w:val="20"/>
                <w:lang w:val="fr-FR"/>
              </w:rPr>
            </w:pPr>
            <w:r w:rsidRPr="009361DC">
              <w:rPr>
                <w:rFonts w:cstheme="minorHAnsi"/>
                <w:sz w:val="20"/>
                <w:szCs w:val="20"/>
                <w:lang w:val="fr-FR"/>
              </w:rPr>
              <w:t>4. Budget</w:t>
            </w:r>
          </w:p>
        </w:tc>
        <w:tc>
          <w:tcPr>
            <w:tcW w:w="1890" w:type="dxa"/>
          </w:tcPr>
          <w:p w:rsidR="002963E9" w:rsidRDefault="00584F15" w:rsidP="005A0928">
            <w:pPr>
              <w:jc w:val="both"/>
              <w:rPr>
                <w:rFonts w:cstheme="minorHAnsi"/>
                <w:sz w:val="20"/>
                <w:szCs w:val="20"/>
                <w:lang w:val="fr-FR"/>
              </w:rPr>
            </w:pPr>
            <w:r>
              <w:rPr>
                <w:rFonts w:cstheme="minorHAnsi"/>
                <w:sz w:val="20"/>
                <w:szCs w:val="20"/>
                <w:lang w:val="fr-FR"/>
              </w:rPr>
              <w:t>Droits humains</w:t>
            </w:r>
          </w:p>
          <w:p w:rsidR="00584F15" w:rsidRDefault="00584F15" w:rsidP="005A0928">
            <w:pPr>
              <w:jc w:val="both"/>
              <w:rPr>
                <w:rFonts w:cstheme="minorHAnsi"/>
                <w:sz w:val="20"/>
                <w:szCs w:val="20"/>
                <w:lang w:val="fr-FR"/>
              </w:rPr>
            </w:pPr>
            <w:r>
              <w:rPr>
                <w:rFonts w:cstheme="minorHAnsi"/>
                <w:sz w:val="20"/>
                <w:szCs w:val="20"/>
                <w:lang w:val="fr-FR"/>
              </w:rPr>
              <w:t>Droits des femmes</w:t>
            </w:r>
          </w:p>
          <w:p w:rsidR="00584F15" w:rsidRDefault="00584F15" w:rsidP="005A0928">
            <w:pPr>
              <w:jc w:val="both"/>
              <w:rPr>
                <w:rFonts w:cstheme="minorHAnsi"/>
                <w:sz w:val="20"/>
                <w:szCs w:val="20"/>
                <w:lang w:val="fr-FR"/>
              </w:rPr>
            </w:pPr>
            <w:r>
              <w:rPr>
                <w:rFonts w:cstheme="minorHAnsi"/>
                <w:sz w:val="20"/>
                <w:szCs w:val="20"/>
                <w:lang w:val="fr-FR"/>
              </w:rPr>
              <w:t>Droits des mineurs</w:t>
            </w:r>
          </w:p>
          <w:p w:rsidR="00584F15" w:rsidRDefault="00584F15" w:rsidP="005A0928">
            <w:pPr>
              <w:jc w:val="both"/>
              <w:rPr>
                <w:rFonts w:cstheme="minorHAnsi"/>
                <w:sz w:val="20"/>
                <w:szCs w:val="20"/>
                <w:lang w:val="fr-FR"/>
              </w:rPr>
            </w:pPr>
            <w:r>
              <w:rPr>
                <w:rFonts w:cstheme="minorHAnsi"/>
                <w:sz w:val="20"/>
                <w:szCs w:val="20"/>
                <w:lang w:val="fr-FR"/>
              </w:rPr>
              <w:t>Droits des détenus</w:t>
            </w:r>
          </w:p>
          <w:p w:rsidR="00584F15" w:rsidRDefault="00584F15" w:rsidP="005A0928">
            <w:pPr>
              <w:jc w:val="both"/>
              <w:rPr>
                <w:rFonts w:cstheme="minorHAnsi"/>
                <w:sz w:val="20"/>
                <w:szCs w:val="20"/>
                <w:lang w:val="fr-FR"/>
              </w:rPr>
            </w:pPr>
            <w:r>
              <w:rPr>
                <w:rFonts w:cstheme="minorHAnsi"/>
                <w:sz w:val="20"/>
                <w:szCs w:val="20"/>
                <w:lang w:val="fr-FR"/>
              </w:rPr>
              <w:t>Devoir de mémoire</w:t>
            </w:r>
          </w:p>
          <w:p w:rsidR="00B30F8C" w:rsidRDefault="00B30F8C" w:rsidP="005A0928">
            <w:pPr>
              <w:jc w:val="both"/>
              <w:rPr>
                <w:rFonts w:cstheme="minorHAnsi"/>
                <w:sz w:val="20"/>
                <w:szCs w:val="20"/>
                <w:lang w:val="fr-FR"/>
              </w:rPr>
            </w:pPr>
            <w:r>
              <w:rPr>
                <w:rFonts w:cstheme="minorHAnsi"/>
                <w:sz w:val="20"/>
                <w:szCs w:val="20"/>
                <w:lang w:val="fr-FR"/>
              </w:rPr>
              <w:t>Et/ou</w:t>
            </w:r>
          </w:p>
          <w:p w:rsidR="00584F15" w:rsidRPr="009361DC" w:rsidRDefault="00584F15" w:rsidP="005A0928">
            <w:pPr>
              <w:jc w:val="both"/>
              <w:rPr>
                <w:rFonts w:cstheme="minorHAnsi"/>
                <w:sz w:val="20"/>
                <w:szCs w:val="20"/>
                <w:lang w:val="fr-FR"/>
              </w:rPr>
            </w:pPr>
            <w:r>
              <w:rPr>
                <w:rFonts w:cstheme="minorHAnsi"/>
                <w:sz w:val="20"/>
                <w:szCs w:val="20"/>
                <w:lang w:val="fr-FR"/>
              </w:rPr>
              <w:t>Lutte contre l’impunité et la corruption</w:t>
            </w:r>
          </w:p>
        </w:tc>
        <w:tc>
          <w:tcPr>
            <w:tcW w:w="2791" w:type="dxa"/>
          </w:tcPr>
          <w:p w:rsidR="00584F15" w:rsidRDefault="00584F15" w:rsidP="005A0928">
            <w:pPr>
              <w:jc w:val="both"/>
              <w:rPr>
                <w:rFonts w:cstheme="minorHAnsi"/>
                <w:sz w:val="20"/>
                <w:szCs w:val="20"/>
                <w:lang w:val="fr-FR"/>
              </w:rPr>
            </w:pPr>
            <w:r>
              <w:rPr>
                <w:rFonts w:cstheme="minorHAnsi"/>
                <w:sz w:val="20"/>
                <w:szCs w:val="20"/>
                <w:lang w:val="fr-FR"/>
              </w:rPr>
              <w:t xml:space="preserve">Sur la durée de l’année universitaire </w:t>
            </w:r>
          </w:p>
          <w:p w:rsidR="002963E9" w:rsidRPr="009361DC" w:rsidRDefault="00584F15" w:rsidP="005A0928">
            <w:pPr>
              <w:jc w:val="both"/>
              <w:rPr>
                <w:rFonts w:cstheme="minorHAnsi"/>
                <w:sz w:val="20"/>
                <w:szCs w:val="20"/>
                <w:lang w:val="fr-FR"/>
              </w:rPr>
            </w:pPr>
            <w:r>
              <w:rPr>
                <w:rFonts w:cstheme="minorHAnsi"/>
                <w:sz w:val="20"/>
                <w:szCs w:val="20"/>
                <w:lang w:val="fr-FR"/>
              </w:rPr>
              <w:t>Financement n</w:t>
            </w:r>
            <w:r w:rsidR="002963E9" w:rsidRPr="009361DC">
              <w:rPr>
                <w:rFonts w:cstheme="minorHAnsi"/>
                <w:sz w:val="20"/>
                <w:szCs w:val="20"/>
                <w:lang w:val="fr-FR"/>
              </w:rPr>
              <w:t>on renouvelable</w:t>
            </w:r>
          </w:p>
          <w:p w:rsidR="002963E9" w:rsidRPr="00000523" w:rsidRDefault="009F45EA" w:rsidP="005A0928">
            <w:pPr>
              <w:jc w:val="both"/>
              <w:rPr>
                <w:rFonts w:cstheme="minorHAnsi"/>
                <w:i/>
                <w:sz w:val="20"/>
                <w:szCs w:val="20"/>
                <w:lang w:val="fr-FR"/>
              </w:rPr>
            </w:pPr>
            <w:r>
              <w:rPr>
                <w:rFonts w:cstheme="minorHAnsi"/>
                <w:i/>
                <w:sz w:val="20"/>
                <w:szCs w:val="20"/>
                <w:lang w:val="fr-FR"/>
              </w:rPr>
              <w:t>Les boursiers auront à remettre à FOKAL des rapports périodiques.</w:t>
            </w:r>
          </w:p>
        </w:tc>
      </w:tr>
      <w:tr w:rsidR="002963E9" w:rsidRPr="00AF4A59" w:rsidTr="00517CA2">
        <w:trPr>
          <w:trHeight w:val="2562"/>
        </w:trPr>
        <w:tc>
          <w:tcPr>
            <w:tcW w:w="1728" w:type="dxa"/>
          </w:tcPr>
          <w:p w:rsidR="002963E9" w:rsidRPr="002B2F38" w:rsidRDefault="002963E9" w:rsidP="0046414D">
            <w:pPr>
              <w:jc w:val="both"/>
              <w:rPr>
                <w:rFonts w:cstheme="minorHAnsi"/>
                <w:b/>
                <w:sz w:val="20"/>
                <w:szCs w:val="20"/>
                <w:lang w:val="fr-FR"/>
              </w:rPr>
            </w:pPr>
            <w:r w:rsidRPr="002B2F38">
              <w:rPr>
                <w:rFonts w:cstheme="minorHAnsi"/>
                <w:b/>
                <w:sz w:val="20"/>
                <w:szCs w:val="20"/>
                <w:lang w:val="fr-FR"/>
              </w:rPr>
              <w:t>Mémoire de fin d’étude universitaire (4</w:t>
            </w:r>
            <w:r w:rsidRPr="002B2F38">
              <w:rPr>
                <w:rFonts w:cstheme="minorHAnsi"/>
                <w:b/>
                <w:sz w:val="20"/>
                <w:szCs w:val="20"/>
                <w:vertAlign w:val="superscript"/>
                <w:lang w:val="fr-FR"/>
              </w:rPr>
              <w:t>ème</w:t>
            </w:r>
            <w:r w:rsidRPr="002B2F38">
              <w:rPr>
                <w:rFonts w:cstheme="minorHAnsi"/>
                <w:b/>
                <w:sz w:val="20"/>
                <w:szCs w:val="20"/>
                <w:lang w:val="fr-FR"/>
              </w:rPr>
              <w:t xml:space="preserve"> année de licence)</w:t>
            </w:r>
          </w:p>
          <w:p w:rsidR="002963E9" w:rsidRPr="00000523" w:rsidRDefault="002963E9" w:rsidP="0046414D">
            <w:pPr>
              <w:jc w:val="both"/>
              <w:rPr>
                <w:rFonts w:cstheme="minorHAnsi"/>
                <w:sz w:val="20"/>
                <w:szCs w:val="20"/>
                <w:lang w:val="fr-FR"/>
              </w:rPr>
            </w:pPr>
          </w:p>
        </w:tc>
        <w:tc>
          <w:tcPr>
            <w:tcW w:w="2070" w:type="dxa"/>
          </w:tcPr>
          <w:p w:rsidR="002963E9" w:rsidRPr="00000523" w:rsidRDefault="002963E9" w:rsidP="0046414D">
            <w:pPr>
              <w:jc w:val="both"/>
              <w:rPr>
                <w:rFonts w:cstheme="minorHAnsi"/>
                <w:sz w:val="20"/>
                <w:szCs w:val="20"/>
                <w:lang w:val="fr-FR"/>
              </w:rPr>
            </w:pPr>
            <w:r w:rsidRPr="00000523">
              <w:rPr>
                <w:rFonts w:cstheme="minorHAnsi"/>
                <w:sz w:val="20"/>
                <w:szCs w:val="20"/>
                <w:lang w:val="fr-FR"/>
              </w:rPr>
              <w:t>Etablissement</w:t>
            </w:r>
            <w:r w:rsidR="00B1054E">
              <w:rPr>
                <w:rFonts w:cstheme="minorHAnsi"/>
                <w:sz w:val="20"/>
                <w:szCs w:val="20"/>
                <w:lang w:val="fr-FR"/>
              </w:rPr>
              <w:t>s</w:t>
            </w:r>
            <w:r w:rsidRPr="00000523">
              <w:rPr>
                <w:rFonts w:cstheme="minorHAnsi"/>
                <w:sz w:val="20"/>
                <w:szCs w:val="20"/>
                <w:lang w:val="fr-FR"/>
              </w:rPr>
              <w:t xml:space="preserve"> d’enseignement supérieur membres de l’AUF</w:t>
            </w:r>
          </w:p>
          <w:p w:rsidR="002963E9" w:rsidRPr="00000523" w:rsidRDefault="00D83D3C" w:rsidP="0046414D">
            <w:pPr>
              <w:jc w:val="both"/>
              <w:rPr>
                <w:rFonts w:cstheme="minorHAnsi"/>
                <w:sz w:val="20"/>
                <w:szCs w:val="20"/>
                <w:lang w:val="fr-FR"/>
              </w:rPr>
            </w:pPr>
            <w:hyperlink r:id="rId13" w:history="1">
              <w:r w:rsidR="002963E9" w:rsidRPr="00000523">
                <w:rPr>
                  <w:rStyle w:val="Hyperlink"/>
                  <w:rFonts w:cstheme="minorHAnsi"/>
                  <w:sz w:val="20"/>
                  <w:szCs w:val="20"/>
                  <w:lang w:val="fr-FR"/>
                </w:rPr>
                <w:t>http://www.auf.org/bureau-caraibe/</w:t>
              </w:r>
            </w:hyperlink>
          </w:p>
        </w:tc>
        <w:tc>
          <w:tcPr>
            <w:tcW w:w="2430" w:type="dxa"/>
          </w:tcPr>
          <w:p w:rsidR="002963E9" w:rsidRPr="00000523" w:rsidRDefault="002963E9" w:rsidP="0046414D">
            <w:pPr>
              <w:rPr>
                <w:rFonts w:cstheme="minorHAnsi"/>
                <w:sz w:val="20"/>
                <w:szCs w:val="20"/>
                <w:lang w:val="fr-FR"/>
              </w:rPr>
            </w:pPr>
            <w:r w:rsidRPr="00000523">
              <w:rPr>
                <w:rFonts w:cstheme="minorHAnsi"/>
                <w:sz w:val="20"/>
                <w:szCs w:val="20"/>
                <w:lang w:val="fr-FR"/>
              </w:rPr>
              <w:t>1. Relevé de note  1</w:t>
            </w:r>
            <w:r w:rsidRPr="00000523">
              <w:rPr>
                <w:rFonts w:cstheme="minorHAnsi"/>
                <w:sz w:val="20"/>
                <w:szCs w:val="20"/>
                <w:vertAlign w:val="superscript"/>
                <w:lang w:val="fr-FR"/>
              </w:rPr>
              <w:t>er</w:t>
            </w:r>
            <w:r w:rsidRPr="00000523">
              <w:rPr>
                <w:rFonts w:cstheme="minorHAnsi"/>
                <w:sz w:val="20"/>
                <w:szCs w:val="20"/>
                <w:lang w:val="fr-FR"/>
              </w:rPr>
              <w:t xml:space="preserve"> cycle (Parcours excellent-moyenne 70% minimum)</w:t>
            </w:r>
          </w:p>
          <w:p w:rsidR="002963E9" w:rsidRPr="00000523" w:rsidRDefault="002963E9" w:rsidP="0046414D">
            <w:pPr>
              <w:rPr>
                <w:rFonts w:cstheme="minorHAnsi"/>
                <w:sz w:val="20"/>
                <w:szCs w:val="20"/>
                <w:lang w:val="fr-FR"/>
              </w:rPr>
            </w:pPr>
            <w:r w:rsidRPr="00000523">
              <w:rPr>
                <w:rFonts w:cstheme="minorHAnsi"/>
                <w:sz w:val="20"/>
                <w:szCs w:val="20"/>
                <w:lang w:val="fr-FR"/>
              </w:rPr>
              <w:t xml:space="preserve">2. Lettre du directeur de mémoire </w:t>
            </w:r>
          </w:p>
          <w:p w:rsidR="002963E9" w:rsidRPr="00000523" w:rsidRDefault="002963E9" w:rsidP="0046414D">
            <w:pPr>
              <w:rPr>
                <w:rFonts w:cstheme="minorHAnsi"/>
                <w:sz w:val="20"/>
                <w:szCs w:val="20"/>
                <w:lang w:val="fr-FR"/>
              </w:rPr>
            </w:pPr>
            <w:r w:rsidRPr="00000523">
              <w:rPr>
                <w:rFonts w:cstheme="minorHAnsi"/>
                <w:sz w:val="20"/>
                <w:szCs w:val="20"/>
                <w:lang w:val="fr-FR"/>
              </w:rPr>
              <w:t>3. Soumission de l’avant-projet de fin d’étude</w:t>
            </w:r>
          </w:p>
          <w:p w:rsidR="002963E9" w:rsidRPr="00000523" w:rsidRDefault="002963E9" w:rsidP="0046414D">
            <w:pPr>
              <w:rPr>
                <w:rFonts w:cstheme="minorHAnsi"/>
                <w:sz w:val="20"/>
                <w:szCs w:val="20"/>
                <w:lang w:val="fr-FR"/>
              </w:rPr>
            </w:pPr>
            <w:r w:rsidRPr="00000523">
              <w:rPr>
                <w:rFonts w:cstheme="minorHAnsi"/>
                <w:sz w:val="20"/>
                <w:szCs w:val="20"/>
                <w:lang w:val="fr-FR"/>
              </w:rPr>
              <w:t>4. Lettre de motivation</w:t>
            </w:r>
          </w:p>
          <w:p w:rsidR="002963E9" w:rsidRPr="00000523" w:rsidRDefault="002963E9" w:rsidP="0046414D">
            <w:pPr>
              <w:rPr>
                <w:rFonts w:cstheme="minorHAnsi"/>
                <w:sz w:val="20"/>
                <w:szCs w:val="20"/>
                <w:lang w:val="fr-FR"/>
              </w:rPr>
            </w:pPr>
            <w:r w:rsidRPr="00000523">
              <w:rPr>
                <w:rFonts w:cstheme="minorHAnsi"/>
                <w:sz w:val="20"/>
                <w:szCs w:val="20"/>
                <w:lang w:val="fr-FR"/>
              </w:rPr>
              <w:t>5. Délai de soutenance</w:t>
            </w:r>
          </w:p>
          <w:p w:rsidR="002963E9" w:rsidRPr="00000523" w:rsidRDefault="002963E9" w:rsidP="0046414D">
            <w:pPr>
              <w:rPr>
                <w:rFonts w:cstheme="minorHAnsi"/>
                <w:sz w:val="20"/>
                <w:szCs w:val="20"/>
                <w:lang w:val="fr-FR"/>
              </w:rPr>
            </w:pPr>
            <w:r w:rsidRPr="00000523">
              <w:rPr>
                <w:rFonts w:cstheme="minorHAnsi"/>
                <w:sz w:val="20"/>
                <w:szCs w:val="20"/>
                <w:lang w:val="fr-FR"/>
              </w:rPr>
              <w:t xml:space="preserve">6. Budget </w:t>
            </w:r>
          </w:p>
        </w:tc>
        <w:tc>
          <w:tcPr>
            <w:tcW w:w="1890" w:type="dxa"/>
          </w:tcPr>
          <w:p w:rsidR="00584F15" w:rsidRDefault="00584F15" w:rsidP="00584F15">
            <w:pPr>
              <w:jc w:val="both"/>
              <w:rPr>
                <w:rFonts w:cstheme="minorHAnsi"/>
                <w:sz w:val="20"/>
                <w:szCs w:val="20"/>
                <w:lang w:val="fr-FR"/>
              </w:rPr>
            </w:pPr>
            <w:r>
              <w:rPr>
                <w:rFonts w:cstheme="minorHAnsi"/>
                <w:sz w:val="20"/>
                <w:szCs w:val="20"/>
                <w:lang w:val="fr-FR"/>
              </w:rPr>
              <w:t>Droits humains</w:t>
            </w:r>
          </w:p>
          <w:p w:rsidR="00584F15" w:rsidRDefault="00584F15" w:rsidP="00584F15">
            <w:pPr>
              <w:jc w:val="both"/>
              <w:rPr>
                <w:rFonts w:cstheme="minorHAnsi"/>
                <w:sz w:val="20"/>
                <w:szCs w:val="20"/>
                <w:lang w:val="fr-FR"/>
              </w:rPr>
            </w:pPr>
            <w:r>
              <w:rPr>
                <w:rFonts w:cstheme="minorHAnsi"/>
                <w:sz w:val="20"/>
                <w:szCs w:val="20"/>
                <w:lang w:val="fr-FR"/>
              </w:rPr>
              <w:t>Droits des femmes</w:t>
            </w:r>
          </w:p>
          <w:p w:rsidR="00584F15" w:rsidRDefault="00584F15" w:rsidP="00584F15">
            <w:pPr>
              <w:jc w:val="both"/>
              <w:rPr>
                <w:rFonts w:cstheme="minorHAnsi"/>
                <w:sz w:val="20"/>
                <w:szCs w:val="20"/>
                <w:lang w:val="fr-FR"/>
              </w:rPr>
            </w:pPr>
            <w:r>
              <w:rPr>
                <w:rFonts w:cstheme="minorHAnsi"/>
                <w:sz w:val="20"/>
                <w:szCs w:val="20"/>
                <w:lang w:val="fr-FR"/>
              </w:rPr>
              <w:t>Droits des mineurs</w:t>
            </w:r>
          </w:p>
          <w:p w:rsidR="00584F15" w:rsidRDefault="00584F15" w:rsidP="00584F15">
            <w:pPr>
              <w:jc w:val="both"/>
              <w:rPr>
                <w:rFonts w:cstheme="minorHAnsi"/>
                <w:sz w:val="20"/>
                <w:szCs w:val="20"/>
                <w:lang w:val="fr-FR"/>
              </w:rPr>
            </w:pPr>
            <w:r>
              <w:rPr>
                <w:rFonts w:cstheme="minorHAnsi"/>
                <w:sz w:val="20"/>
                <w:szCs w:val="20"/>
                <w:lang w:val="fr-FR"/>
              </w:rPr>
              <w:t>Droits des détenus</w:t>
            </w:r>
          </w:p>
          <w:p w:rsidR="00584F15" w:rsidRDefault="00584F15" w:rsidP="00584F15">
            <w:pPr>
              <w:jc w:val="both"/>
              <w:rPr>
                <w:rFonts w:cstheme="minorHAnsi"/>
                <w:sz w:val="20"/>
                <w:szCs w:val="20"/>
                <w:lang w:val="fr-FR"/>
              </w:rPr>
            </w:pPr>
            <w:r>
              <w:rPr>
                <w:rFonts w:cstheme="minorHAnsi"/>
                <w:sz w:val="20"/>
                <w:szCs w:val="20"/>
                <w:lang w:val="fr-FR"/>
              </w:rPr>
              <w:t>Devoir de mémoire</w:t>
            </w:r>
          </w:p>
          <w:p w:rsidR="00B30F8C" w:rsidRDefault="00B30F8C" w:rsidP="00584F15">
            <w:pPr>
              <w:jc w:val="both"/>
              <w:rPr>
                <w:rFonts w:cstheme="minorHAnsi"/>
                <w:sz w:val="20"/>
                <w:szCs w:val="20"/>
                <w:lang w:val="fr-FR"/>
              </w:rPr>
            </w:pPr>
            <w:r>
              <w:rPr>
                <w:rFonts w:cstheme="minorHAnsi"/>
                <w:sz w:val="20"/>
                <w:szCs w:val="20"/>
                <w:lang w:val="fr-FR"/>
              </w:rPr>
              <w:t>Et/ou</w:t>
            </w:r>
          </w:p>
          <w:p w:rsidR="002963E9" w:rsidRPr="00585259" w:rsidRDefault="00584F15" w:rsidP="00584F15">
            <w:pPr>
              <w:jc w:val="both"/>
              <w:rPr>
                <w:rFonts w:cstheme="minorHAnsi"/>
                <w:sz w:val="20"/>
                <w:szCs w:val="20"/>
                <w:lang w:val="fr-FR"/>
              </w:rPr>
            </w:pPr>
            <w:r>
              <w:rPr>
                <w:rFonts w:cstheme="minorHAnsi"/>
                <w:sz w:val="20"/>
                <w:szCs w:val="20"/>
                <w:lang w:val="fr-FR"/>
              </w:rPr>
              <w:t>Lutte contre l’impunité et la corruption</w:t>
            </w:r>
          </w:p>
        </w:tc>
        <w:tc>
          <w:tcPr>
            <w:tcW w:w="2791" w:type="dxa"/>
          </w:tcPr>
          <w:p w:rsidR="00584F15" w:rsidRPr="00584F15" w:rsidRDefault="00584F15" w:rsidP="0046414D">
            <w:pPr>
              <w:jc w:val="both"/>
              <w:rPr>
                <w:rFonts w:ascii="Arial" w:hAnsi="Arial" w:cs="Arial"/>
                <w:sz w:val="20"/>
                <w:szCs w:val="20"/>
                <w:lang w:val="fr-FR" w:eastAsia="ja-JP"/>
              </w:rPr>
            </w:pPr>
            <w:r>
              <w:rPr>
                <w:rFonts w:cstheme="minorHAnsi"/>
                <w:sz w:val="20"/>
                <w:szCs w:val="20"/>
                <w:lang w:val="fr-FR"/>
              </w:rPr>
              <w:t>Sur la durée de rédaction du mémoire de fin d’étude (à préciser dans la demande)</w:t>
            </w:r>
          </w:p>
          <w:p w:rsidR="002963E9" w:rsidRPr="00585259" w:rsidRDefault="00584F15" w:rsidP="0046414D">
            <w:pPr>
              <w:jc w:val="both"/>
              <w:rPr>
                <w:rFonts w:cstheme="minorHAnsi"/>
                <w:sz w:val="20"/>
                <w:szCs w:val="20"/>
                <w:lang w:val="fr-FR"/>
              </w:rPr>
            </w:pPr>
            <w:r>
              <w:rPr>
                <w:rFonts w:cstheme="minorHAnsi"/>
                <w:sz w:val="20"/>
                <w:szCs w:val="20"/>
                <w:lang w:val="fr-FR"/>
              </w:rPr>
              <w:t>Financement n</w:t>
            </w:r>
            <w:r w:rsidR="002963E9" w:rsidRPr="00585259">
              <w:rPr>
                <w:rFonts w:cstheme="minorHAnsi"/>
                <w:sz w:val="20"/>
                <w:szCs w:val="20"/>
                <w:lang w:val="fr-FR"/>
              </w:rPr>
              <w:t>on renouvelable</w:t>
            </w:r>
          </w:p>
          <w:p w:rsidR="002963E9" w:rsidRPr="00000523" w:rsidRDefault="009F45EA" w:rsidP="009F45EA">
            <w:pPr>
              <w:jc w:val="both"/>
              <w:rPr>
                <w:rFonts w:cstheme="minorHAnsi"/>
                <w:i/>
                <w:sz w:val="20"/>
                <w:szCs w:val="20"/>
                <w:lang w:val="fr-FR"/>
              </w:rPr>
            </w:pPr>
            <w:r w:rsidRPr="009F45EA">
              <w:rPr>
                <w:rFonts w:cstheme="minorHAnsi"/>
                <w:i/>
                <w:sz w:val="20"/>
                <w:szCs w:val="20"/>
                <w:lang w:val="fr-FR"/>
              </w:rPr>
              <w:t xml:space="preserve">Les mémorants auront à remettre </w:t>
            </w:r>
            <w:r>
              <w:rPr>
                <w:rFonts w:cstheme="minorHAnsi"/>
                <w:i/>
                <w:sz w:val="20"/>
                <w:szCs w:val="20"/>
                <w:lang w:val="fr-FR"/>
              </w:rPr>
              <w:t xml:space="preserve">à FOKAL </w:t>
            </w:r>
            <w:r w:rsidRPr="009F45EA">
              <w:rPr>
                <w:rFonts w:cstheme="minorHAnsi"/>
                <w:i/>
                <w:sz w:val="20"/>
                <w:szCs w:val="20"/>
                <w:lang w:val="fr-FR"/>
              </w:rPr>
              <w:t>un rapport final</w:t>
            </w:r>
            <w:r w:rsidRPr="009F45EA">
              <w:rPr>
                <w:rFonts w:cstheme="minorHAnsi"/>
                <w:sz w:val="20"/>
                <w:szCs w:val="20"/>
                <w:lang w:val="fr-FR"/>
              </w:rPr>
              <w:t>.</w:t>
            </w:r>
          </w:p>
        </w:tc>
      </w:tr>
      <w:tr w:rsidR="00D43B76" w:rsidRPr="00AF4A59" w:rsidTr="00913C2F">
        <w:trPr>
          <w:trHeight w:val="1968"/>
        </w:trPr>
        <w:tc>
          <w:tcPr>
            <w:tcW w:w="1728" w:type="dxa"/>
          </w:tcPr>
          <w:p w:rsidR="00D43B76" w:rsidRPr="00CF7AC0" w:rsidRDefault="00D43B76" w:rsidP="0046414D">
            <w:pPr>
              <w:jc w:val="both"/>
              <w:rPr>
                <w:rFonts w:cstheme="minorHAnsi"/>
                <w:sz w:val="20"/>
                <w:szCs w:val="20"/>
                <w:lang w:val="fr-FR"/>
              </w:rPr>
            </w:pPr>
          </w:p>
        </w:tc>
        <w:tc>
          <w:tcPr>
            <w:tcW w:w="2070" w:type="dxa"/>
          </w:tcPr>
          <w:p w:rsidR="00D43B76" w:rsidRPr="00CF7AC0" w:rsidRDefault="00D43B76" w:rsidP="00584F15">
            <w:pPr>
              <w:jc w:val="both"/>
              <w:rPr>
                <w:rFonts w:cstheme="minorHAnsi"/>
                <w:sz w:val="20"/>
                <w:szCs w:val="20"/>
                <w:lang w:val="fr-FR"/>
              </w:rPr>
            </w:pPr>
            <w:r w:rsidRPr="00CF7AC0">
              <w:rPr>
                <w:rFonts w:cstheme="minorHAnsi"/>
                <w:sz w:val="20"/>
                <w:szCs w:val="20"/>
                <w:lang w:val="fr-FR"/>
              </w:rPr>
              <w:t>Et pour l’accueil des stagiaires : institutions clé garantes de l’Etat de droit en Haiti</w:t>
            </w:r>
          </w:p>
        </w:tc>
        <w:tc>
          <w:tcPr>
            <w:tcW w:w="2430" w:type="dxa"/>
          </w:tcPr>
          <w:p w:rsidR="00D43B76" w:rsidRPr="00CF7AC0" w:rsidRDefault="00D43B76" w:rsidP="00584F15">
            <w:pPr>
              <w:rPr>
                <w:rFonts w:cstheme="minorHAnsi"/>
                <w:sz w:val="20"/>
                <w:szCs w:val="20"/>
                <w:lang w:val="fr-FR"/>
              </w:rPr>
            </w:pPr>
          </w:p>
        </w:tc>
        <w:tc>
          <w:tcPr>
            <w:tcW w:w="1890" w:type="dxa"/>
          </w:tcPr>
          <w:p w:rsidR="00D43B76" w:rsidRPr="00CF7AC0" w:rsidRDefault="00D43B76" w:rsidP="00584F15">
            <w:pPr>
              <w:jc w:val="both"/>
              <w:rPr>
                <w:rFonts w:cstheme="minorHAnsi"/>
                <w:sz w:val="20"/>
                <w:szCs w:val="20"/>
                <w:lang w:val="fr-FR"/>
              </w:rPr>
            </w:pPr>
            <w:r w:rsidRPr="00CF7AC0">
              <w:rPr>
                <w:rFonts w:cstheme="minorHAnsi"/>
                <w:sz w:val="20"/>
                <w:szCs w:val="20"/>
                <w:lang w:val="fr-FR"/>
              </w:rPr>
              <w:t>Collecte, gestion et utilisation de données probantes et sexo-spécifiques dans une perspective d’aide à la décision publique.</w:t>
            </w:r>
          </w:p>
        </w:tc>
        <w:tc>
          <w:tcPr>
            <w:tcW w:w="2791" w:type="dxa"/>
          </w:tcPr>
          <w:p w:rsidR="00D43B76" w:rsidRPr="00CF7AC0" w:rsidRDefault="00D43B76" w:rsidP="00584F15">
            <w:pPr>
              <w:jc w:val="both"/>
              <w:rPr>
                <w:rFonts w:cstheme="minorHAnsi"/>
                <w:sz w:val="20"/>
                <w:szCs w:val="20"/>
                <w:lang w:val="fr-FR"/>
              </w:rPr>
            </w:pPr>
          </w:p>
        </w:tc>
      </w:tr>
    </w:tbl>
    <w:p w:rsidR="00913C2F" w:rsidRDefault="00913C2F" w:rsidP="00D25367">
      <w:pPr>
        <w:jc w:val="both"/>
        <w:rPr>
          <w:b/>
          <w:sz w:val="32"/>
          <w:lang w:val="fr-FR"/>
        </w:rPr>
      </w:pPr>
    </w:p>
    <w:p w:rsidR="00D25367" w:rsidRPr="00CF7AC0" w:rsidRDefault="00913C2F" w:rsidP="00D25367">
      <w:pPr>
        <w:jc w:val="both"/>
        <w:rPr>
          <w:b/>
          <w:sz w:val="32"/>
          <w:lang w:val="fr-FR"/>
        </w:rPr>
      </w:pPr>
      <w:r>
        <w:rPr>
          <w:b/>
          <w:sz w:val="32"/>
          <w:lang w:val="fr-FR"/>
        </w:rPr>
        <w:t>C</w:t>
      </w:r>
      <w:r w:rsidR="000E646D" w:rsidRPr="00CF7AC0">
        <w:rPr>
          <w:b/>
          <w:sz w:val="32"/>
          <w:lang w:val="fr-FR"/>
        </w:rPr>
        <w:t xml:space="preserve">ALENDRIER </w:t>
      </w:r>
    </w:p>
    <w:p w:rsidR="005C1585" w:rsidRPr="00CF7AC0" w:rsidRDefault="00A33367">
      <w:pPr>
        <w:rPr>
          <w:lang w:val="fr-FR"/>
        </w:rPr>
      </w:pPr>
      <w:r>
        <w:rPr>
          <w:lang w:val="fr-FR"/>
        </w:rPr>
        <w:t xml:space="preserve">Date d’ouverture de l’appel : 8 </w:t>
      </w:r>
      <w:r w:rsidR="00CF7AC0" w:rsidRPr="00CF7AC0">
        <w:rPr>
          <w:lang w:val="fr-FR"/>
        </w:rPr>
        <w:t>mars</w:t>
      </w:r>
      <w:r w:rsidR="005C1585" w:rsidRPr="00CF7AC0">
        <w:rPr>
          <w:lang w:val="fr-FR"/>
        </w:rPr>
        <w:t xml:space="preserve"> 2018</w:t>
      </w:r>
    </w:p>
    <w:p w:rsidR="00D25367" w:rsidRPr="00CF7AC0" w:rsidRDefault="00FA1838">
      <w:pPr>
        <w:rPr>
          <w:lang w:val="fr-FR"/>
        </w:rPr>
      </w:pPr>
      <w:r w:rsidRPr="00CF7AC0">
        <w:rPr>
          <w:lang w:val="fr-FR"/>
        </w:rPr>
        <w:t>Date limite de dépôt des candidatures</w:t>
      </w:r>
      <w:r w:rsidR="008359EB" w:rsidRPr="00CF7AC0">
        <w:rPr>
          <w:lang w:val="fr-FR"/>
        </w:rPr>
        <w:t xml:space="preserve"> : </w:t>
      </w:r>
      <w:r w:rsidR="00AF4A59">
        <w:rPr>
          <w:lang w:val="fr-FR"/>
        </w:rPr>
        <w:t>6</w:t>
      </w:r>
      <w:bookmarkStart w:id="0" w:name="_GoBack"/>
      <w:bookmarkEnd w:id="0"/>
      <w:r w:rsidR="00A33367">
        <w:rPr>
          <w:lang w:val="fr-FR"/>
        </w:rPr>
        <w:t xml:space="preserve"> avril</w:t>
      </w:r>
      <w:r w:rsidR="005C1585" w:rsidRPr="00CF7AC0">
        <w:rPr>
          <w:lang w:val="fr-FR"/>
        </w:rPr>
        <w:t xml:space="preserve"> 2018</w:t>
      </w:r>
    </w:p>
    <w:p w:rsidR="00D25367" w:rsidRPr="00CF7AC0" w:rsidRDefault="00D25367" w:rsidP="00D25367">
      <w:pPr>
        <w:jc w:val="both"/>
        <w:rPr>
          <w:b/>
          <w:sz w:val="32"/>
          <w:lang w:val="fr-FR"/>
        </w:rPr>
      </w:pPr>
      <w:r w:rsidRPr="00CF7AC0">
        <w:rPr>
          <w:b/>
          <w:sz w:val="32"/>
          <w:lang w:val="fr-FR"/>
        </w:rPr>
        <w:t xml:space="preserve">COMMENT RÉPONDRE À L’APPEL À </w:t>
      </w:r>
      <w:r w:rsidR="00785AA4" w:rsidRPr="00CF7AC0">
        <w:rPr>
          <w:b/>
          <w:sz w:val="32"/>
          <w:lang w:val="fr-FR"/>
        </w:rPr>
        <w:t>CANDIDATURES</w:t>
      </w:r>
    </w:p>
    <w:p w:rsidR="00584F15" w:rsidRPr="00CF7AC0" w:rsidRDefault="00584F15">
      <w:pPr>
        <w:rPr>
          <w:lang w:val="fr-FR"/>
        </w:rPr>
      </w:pPr>
      <w:r w:rsidRPr="00CF7AC0">
        <w:rPr>
          <w:lang w:val="fr-FR"/>
        </w:rPr>
        <w:t xml:space="preserve">Les demandes </w:t>
      </w:r>
      <w:r w:rsidR="005C1585" w:rsidRPr="00CF7AC0">
        <w:rPr>
          <w:lang w:val="fr-FR"/>
        </w:rPr>
        <w:t xml:space="preserve">se font uniquement en ligne, sur le site de FOKAL : </w:t>
      </w:r>
      <w:hyperlink r:id="rId14" w:history="1">
        <w:r w:rsidR="005C1585" w:rsidRPr="00CF7AC0">
          <w:rPr>
            <w:rStyle w:val="Hyperlink"/>
            <w:lang w:val="fr-FR"/>
          </w:rPr>
          <w:t>www.fokal.org</w:t>
        </w:r>
      </w:hyperlink>
      <w:r w:rsidR="005C1585" w:rsidRPr="00CF7AC0">
        <w:rPr>
          <w:lang w:val="fr-FR"/>
        </w:rPr>
        <w:t xml:space="preserve"> </w:t>
      </w:r>
    </w:p>
    <w:p w:rsidR="00D25367" w:rsidRPr="00D25367" w:rsidRDefault="00785AA4">
      <w:pPr>
        <w:rPr>
          <w:lang w:val="fr-FR"/>
        </w:rPr>
      </w:pPr>
      <w:r w:rsidRPr="00CF7AC0">
        <w:rPr>
          <w:lang w:val="fr-FR"/>
        </w:rPr>
        <w:t>Merci de bien voul</w:t>
      </w:r>
      <w:r w:rsidR="005C1585" w:rsidRPr="00CF7AC0">
        <w:rPr>
          <w:lang w:val="fr-FR"/>
        </w:rPr>
        <w:t>oir suivre le tutoriel, dans l’onglet Subventions.</w:t>
      </w:r>
    </w:p>
    <w:sectPr w:rsidR="00D25367" w:rsidRPr="00D25367" w:rsidSect="00D83D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D75BD"/>
    <w:multiLevelType w:val="hybridMultilevel"/>
    <w:tmpl w:val="2BEA1C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9A261AA"/>
    <w:multiLevelType w:val="hybridMultilevel"/>
    <w:tmpl w:val="3A066A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2285C0E"/>
    <w:multiLevelType w:val="hybridMultilevel"/>
    <w:tmpl w:val="CE80AA42"/>
    <w:lvl w:ilvl="0" w:tplc="E774CD3A">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hyphenationZone w:val="425"/>
  <w:characterSpacingControl w:val="doNotCompress"/>
  <w:compat>
    <w:useFELayout/>
  </w:compat>
  <w:rsids>
    <w:rsidRoot w:val="002668A7"/>
    <w:rsid w:val="00000523"/>
    <w:rsid w:val="000E646D"/>
    <w:rsid w:val="001A4C86"/>
    <w:rsid w:val="00242160"/>
    <w:rsid w:val="002668A7"/>
    <w:rsid w:val="002857D0"/>
    <w:rsid w:val="002963E9"/>
    <w:rsid w:val="002B2F38"/>
    <w:rsid w:val="002E0176"/>
    <w:rsid w:val="003C439F"/>
    <w:rsid w:val="0046414D"/>
    <w:rsid w:val="00493487"/>
    <w:rsid w:val="004E4BC6"/>
    <w:rsid w:val="00517CA2"/>
    <w:rsid w:val="0055304F"/>
    <w:rsid w:val="00584F15"/>
    <w:rsid w:val="00585259"/>
    <w:rsid w:val="00596797"/>
    <w:rsid w:val="0059759A"/>
    <w:rsid w:val="005A0928"/>
    <w:rsid w:val="005A2E3F"/>
    <w:rsid w:val="005C1585"/>
    <w:rsid w:val="00652507"/>
    <w:rsid w:val="00785AA4"/>
    <w:rsid w:val="008359EB"/>
    <w:rsid w:val="0085702C"/>
    <w:rsid w:val="00877E07"/>
    <w:rsid w:val="008B44A2"/>
    <w:rsid w:val="00913C2F"/>
    <w:rsid w:val="009361DC"/>
    <w:rsid w:val="009F45EA"/>
    <w:rsid w:val="00A14765"/>
    <w:rsid w:val="00A33367"/>
    <w:rsid w:val="00A65E10"/>
    <w:rsid w:val="00A772B0"/>
    <w:rsid w:val="00AC7E18"/>
    <w:rsid w:val="00AF4A59"/>
    <w:rsid w:val="00B1054E"/>
    <w:rsid w:val="00B30F8C"/>
    <w:rsid w:val="00B82E6D"/>
    <w:rsid w:val="00BB2FF7"/>
    <w:rsid w:val="00BC4655"/>
    <w:rsid w:val="00C3760D"/>
    <w:rsid w:val="00CF7AC0"/>
    <w:rsid w:val="00D25367"/>
    <w:rsid w:val="00D43B76"/>
    <w:rsid w:val="00D542A9"/>
    <w:rsid w:val="00D83D3C"/>
    <w:rsid w:val="00DD4621"/>
    <w:rsid w:val="00E85C0E"/>
    <w:rsid w:val="00F340F9"/>
    <w:rsid w:val="00FA18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36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367"/>
    <w:rPr>
      <w:rFonts w:ascii="Tahoma" w:eastAsiaTheme="minorEastAsia" w:hAnsi="Tahoma" w:cs="Tahoma"/>
      <w:sz w:val="16"/>
      <w:szCs w:val="16"/>
    </w:rPr>
  </w:style>
  <w:style w:type="character" w:styleId="Hyperlink">
    <w:name w:val="Hyperlink"/>
    <w:basedOn w:val="DefaultParagraphFont"/>
    <w:uiPriority w:val="99"/>
    <w:unhideWhenUsed/>
    <w:rsid w:val="00D25367"/>
    <w:rPr>
      <w:color w:val="0000FF"/>
      <w:u w:val="single"/>
    </w:rPr>
  </w:style>
  <w:style w:type="paragraph" w:styleId="ListParagraph">
    <w:name w:val="List Paragraph"/>
    <w:basedOn w:val="Normal"/>
    <w:uiPriority w:val="34"/>
    <w:qFormat/>
    <w:rsid w:val="005967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36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367"/>
    <w:rPr>
      <w:rFonts w:ascii="Tahoma" w:eastAsiaTheme="minorEastAsia" w:hAnsi="Tahoma" w:cs="Tahoma"/>
      <w:sz w:val="16"/>
      <w:szCs w:val="16"/>
    </w:rPr>
  </w:style>
  <w:style w:type="character" w:styleId="Hyperlink">
    <w:name w:val="Hyperlink"/>
    <w:basedOn w:val="DefaultParagraphFont"/>
    <w:uiPriority w:val="99"/>
    <w:unhideWhenUsed/>
    <w:rsid w:val="00D25367"/>
    <w:rPr>
      <w:color w:val="0000FF"/>
      <w:u w:val="single"/>
    </w:rPr>
  </w:style>
  <w:style w:type="paragraph" w:styleId="ListParagraph">
    <w:name w:val="List Paragraph"/>
    <w:basedOn w:val="Normal"/>
    <w:uiPriority w:val="34"/>
    <w:qFormat/>
    <w:rsid w:val="00596797"/>
    <w:pPr>
      <w:ind w:left="720"/>
      <w:contextualSpacing/>
    </w:pPr>
  </w:style>
</w:styles>
</file>

<file path=word/webSettings.xml><?xml version="1.0" encoding="utf-8"?>
<w:webSettings xmlns:r="http://schemas.openxmlformats.org/officeDocument/2006/relationships" xmlns:w="http://schemas.openxmlformats.org/wordprocessingml/2006/main">
  <w:divs>
    <w:div w:id="38752021">
      <w:bodyDiv w:val="1"/>
      <w:marLeft w:val="0"/>
      <w:marRight w:val="0"/>
      <w:marTop w:val="0"/>
      <w:marBottom w:val="0"/>
      <w:divBdr>
        <w:top w:val="none" w:sz="0" w:space="0" w:color="auto"/>
        <w:left w:val="none" w:sz="0" w:space="0" w:color="auto"/>
        <w:bottom w:val="none" w:sz="0" w:space="0" w:color="auto"/>
        <w:right w:val="none" w:sz="0" w:space="0" w:color="auto"/>
      </w:divBdr>
    </w:div>
    <w:div w:id="166479072">
      <w:bodyDiv w:val="1"/>
      <w:marLeft w:val="0"/>
      <w:marRight w:val="0"/>
      <w:marTop w:val="0"/>
      <w:marBottom w:val="0"/>
      <w:divBdr>
        <w:top w:val="none" w:sz="0" w:space="0" w:color="auto"/>
        <w:left w:val="none" w:sz="0" w:space="0" w:color="auto"/>
        <w:bottom w:val="none" w:sz="0" w:space="0" w:color="auto"/>
        <w:right w:val="none" w:sz="0" w:space="0" w:color="auto"/>
      </w:divBdr>
    </w:div>
    <w:div w:id="857236278">
      <w:bodyDiv w:val="1"/>
      <w:marLeft w:val="0"/>
      <w:marRight w:val="0"/>
      <w:marTop w:val="0"/>
      <w:marBottom w:val="0"/>
      <w:divBdr>
        <w:top w:val="none" w:sz="0" w:space="0" w:color="auto"/>
        <w:left w:val="none" w:sz="0" w:space="0" w:color="auto"/>
        <w:bottom w:val="none" w:sz="0" w:space="0" w:color="auto"/>
        <w:right w:val="none" w:sz="0" w:space="0" w:color="auto"/>
      </w:divBdr>
    </w:div>
    <w:div w:id="1046222145">
      <w:bodyDiv w:val="1"/>
      <w:marLeft w:val="0"/>
      <w:marRight w:val="0"/>
      <w:marTop w:val="0"/>
      <w:marBottom w:val="0"/>
      <w:divBdr>
        <w:top w:val="none" w:sz="0" w:space="0" w:color="auto"/>
        <w:left w:val="none" w:sz="0" w:space="0" w:color="auto"/>
        <w:bottom w:val="none" w:sz="0" w:space="0" w:color="auto"/>
        <w:right w:val="none" w:sz="0" w:space="0" w:color="auto"/>
      </w:divBdr>
    </w:div>
    <w:div w:id="1108164684">
      <w:bodyDiv w:val="1"/>
      <w:marLeft w:val="0"/>
      <w:marRight w:val="0"/>
      <w:marTop w:val="0"/>
      <w:marBottom w:val="0"/>
      <w:divBdr>
        <w:top w:val="none" w:sz="0" w:space="0" w:color="auto"/>
        <w:left w:val="none" w:sz="0" w:space="0" w:color="auto"/>
        <w:bottom w:val="none" w:sz="0" w:space="0" w:color="auto"/>
        <w:right w:val="none" w:sz="0" w:space="0" w:color="auto"/>
      </w:divBdr>
    </w:div>
    <w:div w:id="1944456526">
      <w:bodyDiv w:val="1"/>
      <w:marLeft w:val="0"/>
      <w:marRight w:val="0"/>
      <w:marTop w:val="0"/>
      <w:marBottom w:val="0"/>
      <w:divBdr>
        <w:top w:val="none" w:sz="0" w:space="0" w:color="auto"/>
        <w:left w:val="none" w:sz="0" w:space="0" w:color="auto"/>
        <w:bottom w:val="none" w:sz="0" w:space="0" w:color="auto"/>
        <w:right w:val="none" w:sz="0" w:space="0" w:color="auto"/>
      </w:divBdr>
    </w:div>
    <w:div w:id="1973975907">
      <w:bodyDiv w:val="1"/>
      <w:marLeft w:val="0"/>
      <w:marRight w:val="0"/>
      <w:marTop w:val="0"/>
      <w:marBottom w:val="0"/>
      <w:divBdr>
        <w:top w:val="none" w:sz="0" w:space="0" w:color="auto"/>
        <w:left w:val="none" w:sz="0" w:space="0" w:color="auto"/>
        <w:bottom w:val="none" w:sz="0" w:space="0" w:color="auto"/>
        <w:right w:val="none" w:sz="0" w:space="0" w:color="auto"/>
      </w:divBdr>
    </w:div>
    <w:div w:id="2056730258">
      <w:bodyDiv w:val="1"/>
      <w:marLeft w:val="0"/>
      <w:marRight w:val="0"/>
      <w:marTop w:val="0"/>
      <w:marBottom w:val="0"/>
      <w:divBdr>
        <w:top w:val="none" w:sz="0" w:space="0" w:color="auto"/>
        <w:left w:val="none" w:sz="0" w:space="0" w:color="auto"/>
        <w:bottom w:val="none" w:sz="0" w:space="0" w:color="auto"/>
        <w:right w:val="none" w:sz="0" w:space="0" w:color="auto"/>
      </w:divBdr>
    </w:div>
    <w:div w:id="21313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societyfoundations.org/" TargetMode="External"/><Relationship Id="rId13" Type="http://schemas.openxmlformats.org/officeDocument/2006/relationships/hyperlink" Target="http://www.auf.org/bureau-caraibe/"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auf.org/bureau-caraibe/"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asfcanada.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okal.org" TargetMode="External"/><Relationship Id="rId4" Type="http://schemas.openxmlformats.org/officeDocument/2006/relationships/settings" Target="settings.xml"/><Relationship Id="rId9" Type="http://schemas.openxmlformats.org/officeDocument/2006/relationships/hyperlink" Target="http://www.opensocietyfoundations.org/people/george-soros" TargetMode="External"/><Relationship Id="rId14" Type="http://schemas.openxmlformats.org/officeDocument/2006/relationships/hyperlink" Target="http://www.fok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7AAE5-2B4C-4DD7-BC6F-F67DA1F1D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1121</Words>
  <Characters>6395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cschermann</dc:creator>
  <cp:lastModifiedBy>kfcandio</cp:lastModifiedBy>
  <cp:revision>2</cp:revision>
  <cp:lastPrinted>2018-01-31T15:30:00Z</cp:lastPrinted>
  <dcterms:created xsi:type="dcterms:W3CDTF">2018-03-05T20:24:00Z</dcterms:created>
  <dcterms:modified xsi:type="dcterms:W3CDTF">2018-03-05T20:24:00Z</dcterms:modified>
</cp:coreProperties>
</file>